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CA41" w14:textId="0FC1A422" w:rsidR="0053724D" w:rsidRPr="00C128CB" w:rsidRDefault="00153B01">
      <w:pPr>
        <w:rPr>
          <w:rFonts w:ascii="Times New Roman" w:hAnsi="Times New Roman" w:cs="Times New Roman"/>
          <w:sz w:val="24"/>
          <w:szCs w:val="24"/>
        </w:rPr>
      </w:pPr>
      <w:r w:rsidRPr="00C128CB">
        <w:rPr>
          <w:rFonts w:ascii="Times New Roman" w:hAnsi="Times New Roman" w:cs="Times New Roman"/>
          <w:sz w:val="24"/>
          <w:szCs w:val="24"/>
        </w:rPr>
        <w:t>Table 1</w:t>
      </w:r>
    </w:p>
    <w:p w14:paraId="12C261C7" w14:textId="2C899CE6" w:rsidR="00153B01" w:rsidRPr="00C128CB" w:rsidRDefault="00153B01">
      <w:pPr>
        <w:rPr>
          <w:rFonts w:ascii="Times New Roman" w:hAnsi="Times New Roman" w:cs="Times New Roman"/>
          <w:i/>
          <w:sz w:val="24"/>
          <w:szCs w:val="24"/>
        </w:rPr>
      </w:pPr>
      <w:r w:rsidRPr="00C128CB">
        <w:rPr>
          <w:rFonts w:ascii="Times New Roman" w:hAnsi="Times New Roman" w:cs="Times New Roman"/>
          <w:i/>
          <w:sz w:val="24"/>
          <w:szCs w:val="24"/>
        </w:rPr>
        <w:t>Interventions for the Treatment of Pain and Function</w:t>
      </w:r>
      <w:r w:rsidR="00D80DF8" w:rsidRPr="00C128CB">
        <w:rPr>
          <w:rFonts w:ascii="Times New Roman" w:hAnsi="Times New Roman" w:cs="Times New Roman"/>
          <w:i/>
          <w:sz w:val="24"/>
          <w:szCs w:val="24"/>
        </w:rPr>
        <w:t xml:space="preserve"> Among Patients with Chronic Non-Cancer Pain</w:t>
      </w:r>
    </w:p>
    <w:tbl>
      <w:tblPr>
        <w:tblStyle w:val="TableGrid"/>
        <w:tblW w:w="13462" w:type="dxa"/>
        <w:tblLook w:val="04A0" w:firstRow="1" w:lastRow="0" w:firstColumn="1" w:lastColumn="0" w:noHBand="0" w:noVBand="1"/>
      </w:tblPr>
      <w:tblGrid>
        <w:gridCol w:w="2689"/>
        <w:gridCol w:w="5953"/>
        <w:gridCol w:w="4820"/>
      </w:tblGrid>
      <w:tr w:rsidR="0053724D" w14:paraId="636D4BD9" w14:textId="77777777" w:rsidTr="00D80DF8">
        <w:tc>
          <w:tcPr>
            <w:tcW w:w="2689" w:type="dxa"/>
          </w:tcPr>
          <w:p w14:paraId="4BB7F4B4" w14:textId="15AE809B" w:rsidR="0053724D" w:rsidRPr="00A8378D" w:rsidRDefault="0053724D" w:rsidP="0053724D">
            <w:pPr>
              <w:jc w:val="center"/>
              <w:rPr>
                <w:b/>
              </w:rPr>
            </w:pPr>
            <w:r w:rsidRPr="00A8378D">
              <w:rPr>
                <w:b/>
              </w:rPr>
              <w:t>Pharmacological Intervention</w:t>
            </w:r>
          </w:p>
        </w:tc>
        <w:tc>
          <w:tcPr>
            <w:tcW w:w="5953" w:type="dxa"/>
          </w:tcPr>
          <w:p w14:paraId="6B336D30" w14:textId="1A25124C" w:rsidR="0053724D" w:rsidRPr="00A8378D" w:rsidRDefault="00BD0EE1" w:rsidP="0053724D">
            <w:pPr>
              <w:jc w:val="center"/>
              <w:rPr>
                <w:b/>
              </w:rPr>
            </w:pPr>
            <w:r w:rsidRPr="00A8378D">
              <w:rPr>
                <w:b/>
              </w:rPr>
              <w:t>Efficacy</w:t>
            </w:r>
          </w:p>
        </w:tc>
        <w:tc>
          <w:tcPr>
            <w:tcW w:w="4820" w:type="dxa"/>
          </w:tcPr>
          <w:p w14:paraId="2EF0B570" w14:textId="4CEC5AC5" w:rsidR="0053724D" w:rsidRPr="00A8378D" w:rsidRDefault="0053724D" w:rsidP="0053724D">
            <w:pPr>
              <w:jc w:val="center"/>
              <w:rPr>
                <w:b/>
              </w:rPr>
            </w:pPr>
            <w:r w:rsidRPr="00A8378D">
              <w:rPr>
                <w:b/>
              </w:rPr>
              <w:t>Important Considerations</w:t>
            </w:r>
          </w:p>
        </w:tc>
      </w:tr>
      <w:tr w:rsidR="00244B2C" w14:paraId="0F1E9E27" w14:textId="77777777" w:rsidTr="00D80DF8">
        <w:tc>
          <w:tcPr>
            <w:tcW w:w="2689" w:type="dxa"/>
          </w:tcPr>
          <w:p w14:paraId="1019DB3B" w14:textId="6AEACA2B" w:rsidR="00244B2C" w:rsidRPr="00130EAD" w:rsidRDefault="00130EAD" w:rsidP="00130EAD">
            <w:r w:rsidRPr="00130EAD">
              <w:t>Opioids</w:t>
            </w:r>
          </w:p>
        </w:tc>
        <w:tc>
          <w:tcPr>
            <w:tcW w:w="5953" w:type="dxa"/>
          </w:tcPr>
          <w:p w14:paraId="14E3467F" w14:textId="73652C69" w:rsidR="00B370FC" w:rsidRDefault="00130EAD" w:rsidP="00130EAD">
            <w:r>
              <w:t xml:space="preserve">40 </w:t>
            </w:r>
            <w:r w:rsidR="001C0BAB">
              <w:t>RCTs</w:t>
            </w:r>
            <w:r>
              <w:t xml:space="preserve"> indicated medium effects on pain intensity (</w:t>
            </w:r>
            <w:r>
              <w:rPr>
                <w:i/>
              </w:rPr>
              <w:t>SMD</w:t>
            </w:r>
            <w:r>
              <w:t xml:space="preserve"> = .56) and function (</w:t>
            </w:r>
            <w:r>
              <w:rPr>
                <w:i/>
              </w:rPr>
              <w:t>SMD</w:t>
            </w:r>
            <w:r>
              <w:t xml:space="preserve"> = .43) in older adults.</w:t>
            </w:r>
          </w:p>
          <w:p w14:paraId="62DF78A2" w14:textId="5A206E52" w:rsidR="00B26360" w:rsidRPr="00B26360" w:rsidRDefault="00B26360" w:rsidP="00130EAD">
            <w:r>
              <w:t>Similar effects on pain intensity in general population (</w:t>
            </w:r>
            <w:r>
              <w:rPr>
                <w:i/>
              </w:rPr>
              <w:t>SMD</w:t>
            </w:r>
            <w:r>
              <w:t xml:space="preserve"> = 0.41).</w:t>
            </w:r>
          </w:p>
          <w:p w14:paraId="4AFC2346" w14:textId="5342018E" w:rsidR="00130EAD" w:rsidRPr="00130EAD" w:rsidRDefault="00D80DF8" w:rsidP="00130EAD">
            <w:r>
              <w:t xml:space="preserve">20 </w:t>
            </w:r>
            <w:r w:rsidR="001C0BAB">
              <w:t>RCTs</w:t>
            </w:r>
            <w:r>
              <w:t xml:space="preserve"> indicated that opioids improved physical function (</w:t>
            </w:r>
            <w:r>
              <w:rPr>
                <w:i/>
              </w:rPr>
              <w:t>SMD</w:t>
            </w:r>
            <w:r>
              <w:t xml:space="preserve"> = 0.31).</w:t>
            </w:r>
          </w:p>
        </w:tc>
        <w:tc>
          <w:tcPr>
            <w:tcW w:w="4820" w:type="dxa"/>
          </w:tcPr>
          <w:p w14:paraId="14068530" w14:textId="77777777" w:rsidR="00244B2C" w:rsidRDefault="009868B5" w:rsidP="00130EAD">
            <w:r>
              <w:t>Associated with increased risk of abuse, fractures, myocardi</w:t>
            </w:r>
            <w:r w:rsidR="00FF2E16">
              <w:t>al infarction, and sexual dysfunction.</w:t>
            </w:r>
          </w:p>
          <w:p w14:paraId="45E22127" w14:textId="4040D299" w:rsidR="00337128" w:rsidRPr="00130EAD" w:rsidRDefault="00337128" w:rsidP="00130EAD">
            <w:r>
              <w:t>Insufficient evidence to evaluate effectiveness on long-term use (&gt;3-months).</w:t>
            </w:r>
          </w:p>
        </w:tc>
      </w:tr>
      <w:tr w:rsidR="00780BC6" w14:paraId="560D8E59" w14:textId="77777777" w:rsidTr="00D80DF8">
        <w:tc>
          <w:tcPr>
            <w:tcW w:w="2689" w:type="dxa"/>
          </w:tcPr>
          <w:p w14:paraId="4549C618" w14:textId="30B1EEF9" w:rsidR="00780BC6" w:rsidRPr="00130EAD" w:rsidRDefault="00780BC6" w:rsidP="00130EAD">
            <w:r>
              <w:t>Pharmacotherapy for Neuropathic pain</w:t>
            </w:r>
          </w:p>
        </w:tc>
        <w:tc>
          <w:tcPr>
            <w:tcW w:w="5953" w:type="dxa"/>
          </w:tcPr>
          <w:p w14:paraId="1F0EB416" w14:textId="77777777" w:rsidR="00780BC6" w:rsidRDefault="00780BC6" w:rsidP="00130EAD">
            <w:r>
              <w:t>SNRIs (</w:t>
            </w:r>
            <w:r>
              <w:rPr>
                <w:i/>
              </w:rPr>
              <w:t>SMD</w:t>
            </w:r>
            <w:r>
              <w:t xml:space="preserve"> = 0.28); Gabapentin (</w:t>
            </w:r>
            <w:r>
              <w:rPr>
                <w:i/>
              </w:rPr>
              <w:t>SMD</w:t>
            </w:r>
            <w:r>
              <w:t xml:space="preserve"> = 0.23); Capsaicin high concentration (</w:t>
            </w:r>
            <w:r>
              <w:rPr>
                <w:i/>
              </w:rPr>
              <w:t>SMD</w:t>
            </w:r>
            <w:r>
              <w:t xml:space="preserve"> = 0.17).</w:t>
            </w:r>
          </w:p>
          <w:p w14:paraId="3A41723E" w14:textId="6AC97F55" w:rsidR="00780BC6" w:rsidRPr="00780BC6" w:rsidRDefault="00780BC6" w:rsidP="00130EAD">
            <w:r>
              <w:t xml:space="preserve">Effects for tricyclic antidepressants, strong opioids and tramadol were less than </w:t>
            </w:r>
            <w:r>
              <w:rPr>
                <w:i/>
              </w:rPr>
              <w:t>SMD</w:t>
            </w:r>
            <w:r>
              <w:t xml:space="preserve"> = 0.17. </w:t>
            </w:r>
          </w:p>
        </w:tc>
        <w:tc>
          <w:tcPr>
            <w:tcW w:w="4820" w:type="dxa"/>
          </w:tcPr>
          <w:p w14:paraId="7BC88119" w14:textId="77777777" w:rsidR="00780BC6" w:rsidRPr="00130EAD" w:rsidRDefault="00780BC6" w:rsidP="00130EAD"/>
        </w:tc>
      </w:tr>
      <w:tr w:rsidR="00A8378D" w14:paraId="0484A710" w14:textId="77777777" w:rsidTr="00D80DF8">
        <w:tc>
          <w:tcPr>
            <w:tcW w:w="2689" w:type="dxa"/>
          </w:tcPr>
          <w:p w14:paraId="60D31EBD" w14:textId="0201C48D" w:rsidR="00A8378D" w:rsidRDefault="00A8378D" w:rsidP="00A8378D">
            <w:r>
              <w:t>Cannabis</w:t>
            </w:r>
          </w:p>
        </w:tc>
        <w:tc>
          <w:tcPr>
            <w:tcW w:w="5953" w:type="dxa"/>
          </w:tcPr>
          <w:p w14:paraId="24643C6E" w14:textId="390BEC43" w:rsidR="00A8378D" w:rsidRDefault="00367560" w:rsidP="00A8378D">
            <w:r>
              <w:t xml:space="preserve">16 </w:t>
            </w:r>
            <w:r w:rsidR="001C0BAB">
              <w:t>RCTs</w:t>
            </w:r>
            <w:r>
              <w:t xml:space="preserve"> indicated small effects </w:t>
            </w:r>
            <w:r w:rsidR="00FD49C3">
              <w:t xml:space="preserve">of oral and inhaled cannabis </w:t>
            </w:r>
            <w:r>
              <w:t>on neuropathic pain (</w:t>
            </w:r>
            <w:r>
              <w:rPr>
                <w:i/>
              </w:rPr>
              <w:t>SMD</w:t>
            </w:r>
            <w:r>
              <w:t xml:space="preserve"> = 0.16).</w:t>
            </w:r>
          </w:p>
          <w:p w14:paraId="76D713A1" w14:textId="06691A40" w:rsidR="00367560" w:rsidRDefault="00367560" w:rsidP="00A8378D">
            <w:r>
              <w:t xml:space="preserve">5 </w:t>
            </w:r>
            <w:r w:rsidR="001C0BAB">
              <w:t>RCTs</w:t>
            </w:r>
            <w:r>
              <w:t xml:space="preserve"> indicated small to medium effects of inhaled cannabis on neuropathic pain (</w:t>
            </w:r>
            <w:r>
              <w:rPr>
                <w:i/>
              </w:rPr>
              <w:t>SMD</w:t>
            </w:r>
            <w:r>
              <w:t xml:space="preserve"> = 0.32).</w:t>
            </w:r>
          </w:p>
          <w:p w14:paraId="6431DFA2" w14:textId="7858245B" w:rsidR="00B26360" w:rsidRDefault="00B26360" w:rsidP="00A8378D">
            <w:r>
              <w:t xml:space="preserve">8 </w:t>
            </w:r>
            <w:r w:rsidR="001C0BAB">
              <w:t>RCTs</w:t>
            </w:r>
            <w:r>
              <w:t xml:space="preserve"> indicate</w:t>
            </w:r>
            <w:r w:rsidR="00FD49C3">
              <w:t>d</w:t>
            </w:r>
            <w:r>
              <w:t xml:space="preserve"> small effects on chronic pain (</w:t>
            </w:r>
            <w:r>
              <w:rPr>
                <w:i/>
              </w:rPr>
              <w:t>SMD</w:t>
            </w:r>
            <w:r>
              <w:t xml:space="preserve"> = 0.20).</w:t>
            </w:r>
          </w:p>
          <w:p w14:paraId="1E4F2F80" w14:textId="2E63214D" w:rsidR="00FD49C3" w:rsidRPr="00B26360" w:rsidRDefault="00FD49C3" w:rsidP="00A8378D">
            <w:r>
              <w:t xml:space="preserve">Inconclusive evidence on </w:t>
            </w:r>
            <w:r w:rsidR="00D80DF8">
              <w:t>physical function.</w:t>
            </w:r>
          </w:p>
        </w:tc>
        <w:tc>
          <w:tcPr>
            <w:tcW w:w="4820" w:type="dxa"/>
          </w:tcPr>
          <w:p w14:paraId="5EDDF81F" w14:textId="3FB383AF" w:rsidR="00A8378D" w:rsidRDefault="00367560" w:rsidP="00A8378D">
            <w:r>
              <w:t>Consider whether desired outcome is reduced pain or improvement in function.</w:t>
            </w:r>
          </w:p>
        </w:tc>
      </w:tr>
      <w:tr w:rsidR="00A8378D" w14:paraId="3C2CAF84" w14:textId="77777777" w:rsidTr="00D80DF8">
        <w:tc>
          <w:tcPr>
            <w:tcW w:w="2689" w:type="dxa"/>
          </w:tcPr>
          <w:p w14:paraId="387E0AA0" w14:textId="12D3490F" w:rsidR="00A8378D" w:rsidRPr="00A8378D" w:rsidRDefault="00A8378D" w:rsidP="00A8378D">
            <w:pPr>
              <w:jc w:val="center"/>
              <w:rPr>
                <w:b/>
              </w:rPr>
            </w:pPr>
            <w:r w:rsidRPr="00A8378D">
              <w:rPr>
                <w:b/>
              </w:rPr>
              <w:t>Non-Pharmacological Intervention</w:t>
            </w:r>
          </w:p>
        </w:tc>
        <w:tc>
          <w:tcPr>
            <w:tcW w:w="5953" w:type="dxa"/>
          </w:tcPr>
          <w:p w14:paraId="566A7C55" w14:textId="4EA67886" w:rsidR="00A8378D" w:rsidRPr="00A8378D" w:rsidRDefault="00A8378D" w:rsidP="00A8378D">
            <w:pPr>
              <w:jc w:val="center"/>
              <w:rPr>
                <w:b/>
              </w:rPr>
            </w:pPr>
            <w:r w:rsidRPr="00A8378D">
              <w:rPr>
                <w:b/>
              </w:rPr>
              <w:t>Efficacy</w:t>
            </w:r>
          </w:p>
        </w:tc>
        <w:tc>
          <w:tcPr>
            <w:tcW w:w="4820" w:type="dxa"/>
          </w:tcPr>
          <w:p w14:paraId="4E30AB69" w14:textId="636A8FBC" w:rsidR="00A8378D" w:rsidRPr="00A8378D" w:rsidRDefault="00A8378D" w:rsidP="00A8378D">
            <w:pPr>
              <w:jc w:val="center"/>
              <w:rPr>
                <w:b/>
              </w:rPr>
            </w:pPr>
            <w:r w:rsidRPr="00A8378D">
              <w:rPr>
                <w:b/>
              </w:rPr>
              <w:t>Important Considerations</w:t>
            </w:r>
          </w:p>
        </w:tc>
      </w:tr>
      <w:tr w:rsidR="00A8378D" w14:paraId="7D86E841" w14:textId="77777777" w:rsidTr="00D80DF8">
        <w:tc>
          <w:tcPr>
            <w:tcW w:w="2689" w:type="dxa"/>
          </w:tcPr>
          <w:p w14:paraId="7303AC94" w14:textId="7E7F047F" w:rsidR="00A8378D" w:rsidRDefault="00A8378D" w:rsidP="00A8378D">
            <w:r>
              <w:t>Physical Activity</w:t>
            </w:r>
          </w:p>
        </w:tc>
        <w:tc>
          <w:tcPr>
            <w:tcW w:w="5953" w:type="dxa"/>
          </w:tcPr>
          <w:p w14:paraId="4B1D18AC" w14:textId="016F5650" w:rsidR="00A8378D" w:rsidRDefault="00A8378D" w:rsidP="00A8378D">
            <w:r>
              <w:t>Beneficial effects on pain, physical function, sleep, cognitive and emotional function.</w:t>
            </w:r>
          </w:p>
          <w:p w14:paraId="17563603" w14:textId="77777777" w:rsidR="00A8378D" w:rsidRDefault="00A8378D" w:rsidP="00A8378D">
            <w:r>
              <w:t>Few to no reported harms associated with exercise.</w:t>
            </w:r>
          </w:p>
          <w:p w14:paraId="6F00A76B" w14:textId="68ACB6F4" w:rsidR="00A8378D" w:rsidRPr="0093143C" w:rsidRDefault="00A8378D" w:rsidP="00A8378D">
            <w:r>
              <w:t>Data from RCTs indicates small to medium effect sizes (</w:t>
            </w:r>
            <w:r>
              <w:rPr>
                <w:i/>
              </w:rPr>
              <w:t>SMD</w:t>
            </w:r>
            <w:r>
              <w:t>s generally ranging between .30 and .50).</w:t>
            </w:r>
          </w:p>
        </w:tc>
        <w:tc>
          <w:tcPr>
            <w:tcW w:w="4820" w:type="dxa"/>
          </w:tcPr>
          <w:p w14:paraId="7A4E92EE" w14:textId="29E44E07" w:rsidR="00A8378D" w:rsidRDefault="00A8378D" w:rsidP="00A8378D">
            <w:r>
              <w:t>Consider safety precautions (e.g., risk of fall).</w:t>
            </w:r>
          </w:p>
          <w:p w14:paraId="60415BEB" w14:textId="77777777" w:rsidR="00A8378D" w:rsidRDefault="00A8378D" w:rsidP="00A8378D">
            <w:r>
              <w:t>Consider proper posture and body mechanics.</w:t>
            </w:r>
          </w:p>
          <w:p w14:paraId="46702D23" w14:textId="77777777" w:rsidR="00A8378D" w:rsidRDefault="00A8378D" w:rsidP="00A8378D">
            <w:r>
              <w:t>Consider exercises within a range of motion that does not increase pain.</w:t>
            </w:r>
          </w:p>
          <w:p w14:paraId="0723A53E" w14:textId="264F4BD6" w:rsidR="00A8378D" w:rsidRDefault="00A8378D" w:rsidP="00A8378D">
            <w:r>
              <w:t>Consider client motivation and principles of activity pacing (start low, go slow).</w:t>
            </w:r>
          </w:p>
        </w:tc>
      </w:tr>
      <w:tr w:rsidR="00A8378D" w14:paraId="711AB67C" w14:textId="77777777" w:rsidTr="00D80DF8">
        <w:tc>
          <w:tcPr>
            <w:tcW w:w="2689" w:type="dxa"/>
          </w:tcPr>
          <w:p w14:paraId="3B88F050" w14:textId="44F39BBC" w:rsidR="00A8378D" w:rsidRDefault="00A8378D" w:rsidP="00A8378D">
            <w:r>
              <w:t>Yoga</w:t>
            </w:r>
          </w:p>
        </w:tc>
        <w:tc>
          <w:tcPr>
            <w:tcW w:w="5953" w:type="dxa"/>
          </w:tcPr>
          <w:p w14:paraId="63686DF2" w14:textId="77777777" w:rsidR="00A8378D" w:rsidRDefault="00A8378D" w:rsidP="00A8378D">
            <w:r>
              <w:t>Most well studied for shoulder, neck and back pain.</w:t>
            </w:r>
          </w:p>
          <w:p w14:paraId="0F77F9B8" w14:textId="125C6A93" w:rsidR="00A8378D" w:rsidRDefault="001C0BAB" w:rsidP="00A8378D">
            <w:r>
              <w:t>12 RCTs</w:t>
            </w:r>
            <w:r w:rsidR="00A8378D">
              <w:t xml:space="preserve"> indicate small to medium effect sizes (</w:t>
            </w:r>
            <w:r w:rsidR="00A8378D">
              <w:rPr>
                <w:i/>
              </w:rPr>
              <w:t>SMD</w:t>
            </w:r>
            <w:r w:rsidR="00A8378D">
              <w:t>s ~.40 for pain and function)</w:t>
            </w:r>
            <w:r>
              <w:t xml:space="preserve"> when compared to non-active control</w:t>
            </w:r>
            <w:r w:rsidR="00A8378D">
              <w:t>.</w:t>
            </w:r>
          </w:p>
        </w:tc>
        <w:tc>
          <w:tcPr>
            <w:tcW w:w="4820" w:type="dxa"/>
          </w:tcPr>
          <w:p w14:paraId="39AC43C9" w14:textId="77777777" w:rsidR="00A8378D" w:rsidRDefault="00A8378D" w:rsidP="00A8378D">
            <w:r>
              <w:t>Consider some risk of increasing back pain.</w:t>
            </w:r>
          </w:p>
          <w:p w14:paraId="08B3B45B" w14:textId="588C569F" w:rsidR="00A8378D" w:rsidRDefault="00A8378D" w:rsidP="00A8378D">
            <w:r>
              <w:t>Consider client’s motivation and preferences for yoga.</w:t>
            </w:r>
          </w:p>
        </w:tc>
      </w:tr>
      <w:tr w:rsidR="00A8378D" w14:paraId="7B49F04D" w14:textId="77777777" w:rsidTr="00D80DF8">
        <w:tc>
          <w:tcPr>
            <w:tcW w:w="2689" w:type="dxa"/>
          </w:tcPr>
          <w:p w14:paraId="5B3CCBAF" w14:textId="52C5C51E" w:rsidR="00A8378D" w:rsidRDefault="00A8378D" w:rsidP="00A8378D">
            <w:r>
              <w:t>Mindfulness Meditation</w:t>
            </w:r>
          </w:p>
        </w:tc>
        <w:tc>
          <w:tcPr>
            <w:tcW w:w="5953" w:type="dxa"/>
          </w:tcPr>
          <w:p w14:paraId="465ED662" w14:textId="0827F49B" w:rsidR="00A8378D" w:rsidRDefault="00A8378D" w:rsidP="00A8378D">
            <w:r>
              <w:t>30 RCTs indicate small effects on pain (</w:t>
            </w:r>
            <w:r>
              <w:rPr>
                <w:i/>
              </w:rPr>
              <w:t>SMD</w:t>
            </w:r>
            <w:r>
              <w:t xml:space="preserve"> = 0.30), function (</w:t>
            </w:r>
            <w:r>
              <w:rPr>
                <w:i/>
              </w:rPr>
              <w:t>SMD</w:t>
            </w:r>
            <w:r>
              <w:t xml:space="preserve"> = 0.30), depressed mood (</w:t>
            </w:r>
            <w:r>
              <w:rPr>
                <w:i/>
              </w:rPr>
              <w:t>SMD</w:t>
            </w:r>
            <w:r>
              <w:t xml:space="preserve"> = 0.15) and quality of life (</w:t>
            </w:r>
            <w:r>
              <w:rPr>
                <w:i/>
              </w:rPr>
              <w:t>SMD</w:t>
            </w:r>
            <w:r>
              <w:t xml:space="preserve"> = 0.34).</w:t>
            </w:r>
          </w:p>
        </w:tc>
        <w:tc>
          <w:tcPr>
            <w:tcW w:w="4820" w:type="dxa"/>
          </w:tcPr>
          <w:p w14:paraId="3F535753" w14:textId="77777777" w:rsidR="00A8378D" w:rsidRDefault="00A8378D" w:rsidP="00A8378D"/>
        </w:tc>
      </w:tr>
      <w:tr w:rsidR="00A8378D" w14:paraId="48521734" w14:textId="77777777" w:rsidTr="00D80DF8">
        <w:tc>
          <w:tcPr>
            <w:tcW w:w="2689" w:type="dxa"/>
          </w:tcPr>
          <w:p w14:paraId="69206CE9" w14:textId="42668C87" w:rsidR="00A8378D" w:rsidRDefault="00A8378D" w:rsidP="00A8378D">
            <w:r>
              <w:lastRenderedPageBreak/>
              <w:t>Acupuncture</w:t>
            </w:r>
          </w:p>
        </w:tc>
        <w:tc>
          <w:tcPr>
            <w:tcW w:w="5953" w:type="dxa"/>
          </w:tcPr>
          <w:p w14:paraId="1BFF24D4" w14:textId="7329DEE5" w:rsidR="00A8378D" w:rsidRDefault="00A8378D" w:rsidP="00A8378D">
            <w:r>
              <w:t>39 RCTs indicate large effects relative to no treatment (</w:t>
            </w:r>
            <w:r>
              <w:rPr>
                <w:i/>
              </w:rPr>
              <w:t>SMD</w:t>
            </w:r>
            <w:r>
              <w:t xml:space="preserve"> = ~0.50) and small effects compared to sham acupuncture (</w:t>
            </w:r>
            <w:r>
              <w:rPr>
                <w:i/>
              </w:rPr>
              <w:t>SMD</w:t>
            </w:r>
            <w:r>
              <w:t xml:space="preserve"> = 0.20).</w:t>
            </w:r>
          </w:p>
        </w:tc>
        <w:tc>
          <w:tcPr>
            <w:tcW w:w="4820" w:type="dxa"/>
          </w:tcPr>
          <w:p w14:paraId="263487FF" w14:textId="77777777" w:rsidR="00A8378D" w:rsidRDefault="00A8378D" w:rsidP="00A8378D"/>
        </w:tc>
      </w:tr>
      <w:tr w:rsidR="00A8378D" w14:paraId="3B5371A9" w14:textId="77777777" w:rsidTr="00D80DF8">
        <w:tc>
          <w:tcPr>
            <w:tcW w:w="2689" w:type="dxa"/>
          </w:tcPr>
          <w:p w14:paraId="0170EC86" w14:textId="5243B0CE" w:rsidR="00A8378D" w:rsidRDefault="00A8378D" w:rsidP="00A8378D">
            <w:r>
              <w:t>Psychological therapies (Cognitive Behavior Therapy)</w:t>
            </w:r>
          </w:p>
        </w:tc>
        <w:tc>
          <w:tcPr>
            <w:tcW w:w="5953" w:type="dxa"/>
          </w:tcPr>
          <w:p w14:paraId="0D3BA0FA" w14:textId="77777777" w:rsidR="00A8378D" w:rsidRDefault="00A8378D" w:rsidP="00A8378D">
            <w:r>
              <w:t xml:space="preserve">Effective for patients with diverse chronic pain presentations. </w:t>
            </w:r>
          </w:p>
          <w:p w14:paraId="642E934A" w14:textId="71308696" w:rsidR="00A8378D" w:rsidRPr="002A6854" w:rsidRDefault="00A8378D" w:rsidP="00A8378D">
            <w:r>
              <w:t>RCTs indicate small to medium effect sizes for improving pain (</w:t>
            </w:r>
            <w:r>
              <w:rPr>
                <w:i/>
              </w:rPr>
              <w:t>SMD</w:t>
            </w:r>
            <w:r>
              <w:t xml:space="preserve"> = ~0.25-0.50), function (</w:t>
            </w:r>
            <w:r>
              <w:rPr>
                <w:i/>
              </w:rPr>
              <w:t>SMD</w:t>
            </w:r>
            <w:r>
              <w:t xml:space="preserve"> = ~0.26-0.50) and depressed mood (</w:t>
            </w:r>
            <w:r>
              <w:rPr>
                <w:i/>
              </w:rPr>
              <w:t>SMD</w:t>
            </w:r>
            <w:r>
              <w:t xml:space="preserve"> = ~0.40).</w:t>
            </w:r>
          </w:p>
        </w:tc>
        <w:tc>
          <w:tcPr>
            <w:tcW w:w="4820" w:type="dxa"/>
          </w:tcPr>
          <w:p w14:paraId="34965A67" w14:textId="6C0C1D1C" w:rsidR="00A8378D" w:rsidRDefault="00A8378D" w:rsidP="00A8378D">
            <w:r>
              <w:t>Consider if patient readiness to engage in active treatment.</w:t>
            </w:r>
          </w:p>
          <w:p w14:paraId="69D56A14" w14:textId="3B6A0F37" w:rsidR="00A8378D" w:rsidRDefault="00A8378D" w:rsidP="00A8378D">
            <w:r>
              <w:t>Consider community resources and availability.  Consider online therapies as efficacy is similar.</w:t>
            </w:r>
          </w:p>
        </w:tc>
      </w:tr>
      <w:tr w:rsidR="00A8378D" w14:paraId="65825C7A" w14:textId="77777777" w:rsidTr="00D80DF8">
        <w:tc>
          <w:tcPr>
            <w:tcW w:w="2689" w:type="dxa"/>
          </w:tcPr>
          <w:p w14:paraId="0648C737" w14:textId="6039343F" w:rsidR="00A8378D" w:rsidRDefault="00A8378D" w:rsidP="00A8378D">
            <w:r>
              <w:t>Guided self-help (Psychoeducation / CBT)</w:t>
            </w:r>
          </w:p>
        </w:tc>
        <w:tc>
          <w:tcPr>
            <w:tcW w:w="5953" w:type="dxa"/>
          </w:tcPr>
          <w:p w14:paraId="310F2CDF" w14:textId="5AF74340" w:rsidR="00A8378D" w:rsidRDefault="00A8378D" w:rsidP="00A8378D">
            <w:r>
              <w:t>15 studies indicate small effects for pain intensity (</w:t>
            </w:r>
            <w:r>
              <w:rPr>
                <w:i/>
              </w:rPr>
              <w:t>SMD</w:t>
            </w:r>
            <w:r>
              <w:t xml:space="preserve"> = ~0.30), </w:t>
            </w:r>
            <w:r w:rsidR="001C0BAB">
              <w:t>physical fu</w:t>
            </w:r>
            <w:r w:rsidR="006D49D1">
              <w:t>n</w:t>
            </w:r>
            <w:r w:rsidR="001C0BAB">
              <w:t>ction</w:t>
            </w:r>
            <w:r>
              <w:t xml:space="preserve"> (</w:t>
            </w:r>
            <w:r>
              <w:rPr>
                <w:i/>
              </w:rPr>
              <w:t>SMD</w:t>
            </w:r>
            <w:r>
              <w:t xml:space="preserve"> = ~0.30), and quality of life (</w:t>
            </w:r>
            <w:r>
              <w:rPr>
                <w:i/>
              </w:rPr>
              <w:t>SMD</w:t>
            </w:r>
            <w:r>
              <w:t xml:space="preserve"> = 0.24).</w:t>
            </w:r>
          </w:p>
        </w:tc>
        <w:tc>
          <w:tcPr>
            <w:tcW w:w="4820" w:type="dxa"/>
          </w:tcPr>
          <w:p w14:paraId="2E394114" w14:textId="77777777" w:rsidR="00A8378D" w:rsidRDefault="00A8378D" w:rsidP="00A8378D"/>
        </w:tc>
      </w:tr>
      <w:tr w:rsidR="00A8378D" w14:paraId="3FE649C5" w14:textId="77777777" w:rsidTr="00D80DF8">
        <w:tc>
          <w:tcPr>
            <w:tcW w:w="2689" w:type="dxa"/>
          </w:tcPr>
          <w:p w14:paraId="28D7B26D" w14:textId="7C21D9FF" w:rsidR="00A8378D" w:rsidRDefault="00A8378D" w:rsidP="00A8378D">
            <w:r>
              <w:t>Psychological therapies (Acceptance and Commitment Therapy)</w:t>
            </w:r>
          </w:p>
        </w:tc>
        <w:tc>
          <w:tcPr>
            <w:tcW w:w="5953" w:type="dxa"/>
          </w:tcPr>
          <w:p w14:paraId="54DFF628" w14:textId="77777777" w:rsidR="00A8378D" w:rsidRDefault="00A8378D" w:rsidP="00A8378D">
            <w:r>
              <w:t>Effective for patients with diverse chronic pain presentations.  Focus is on improving function.</w:t>
            </w:r>
          </w:p>
          <w:p w14:paraId="75E4D157" w14:textId="2CF08805" w:rsidR="00A8378D" w:rsidRPr="006B549A" w:rsidRDefault="001C0BAB" w:rsidP="00A8378D">
            <w:r>
              <w:t xml:space="preserve">14 </w:t>
            </w:r>
            <w:r w:rsidR="00A8378D">
              <w:t>RCTs indicate small to medium effect sizes for improving pain (</w:t>
            </w:r>
            <w:r w:rsidR="00A8378D">
              <w:rPr>
                <w:i/>
              </w:rPr>
              <w:t>SMD</w:t>
            </w:r>
            <w:r w:rsidR="00A8378D">
              <w:t xml:space="preserve"> = ~0.</w:t>
            </w:r>
            <w:r>
              <w:t>37</w:t>
            </w:r>
            <w:r w:rsidR="00A8378D">
              <w:t>), function (</w:t>
            </w:r>
            <w:r w:rsidR="00A8378D">
              <w:rPr>
                <w:i/>
              </w:rPr>
              <w:t>SMD</w:t>
            </w:r>
            <w:r w:rsidR="00A8378D">
              <w:t xml:space="preserve"> = ~0.</w:t>
            </w:r>
            <w:r>
              <w:t>35</w:t>
            </w:r>
            <w:r w:rsidR="00A8378D">
              <w:t>)</w:t>
            </w:r>
            <w:r>
              <w:t>,</w:t>
            </w:r>
            <w:r w:rsidR="00A8378D">
              <w:t xml:space="preserve"> depressed/anxious mood (</w:t>
            </w:r>
            <w:r w:rsidR="00A8378D">
              <w:rPr>
                <w:i/>
              </w:rPr>
              <w:t>SMD</w:t>
            </w:r>
            <w:r w:rsidR="00A8378D">
              <w:t xml:space="preserve"> = ~0.</w:t>
            </w:r>
            <w:r>
              <w:t>35</w:t>
            </w:r>
            <w:r w:rsidR="00A8378D">
              <w:t>)</w:t>
            </w:r>
            <w:r>
              <w:t>, and quality of life (</w:t>
            </w:r>
            <w:r>
              <w:rPr>
                <w:i/>
              </w:rPr>
              <w:t>SMD</w:t>
            </w:r>
            <w:r>
              <w:t xml:space="preserve"> = 0.41)</w:t>
            </w:r>
            <w:r w:rsidR="00A8378D">
              <w:t>.</w:t>
            </w:r>
          </w:p>
        </w:tc>
        <w:tc>
          <w:tcPr>
            <w:tcW w:w="4820" w:type="dxa"/>
          </w:tcPr>
          <w:p w14:paraId="1C577126" w14:textId="0E90E1D9" w:rsidR="00A8378D" w:rsidRDefault="00A8378D" w:rsidP="00A8378D">
            <w:r>
              <w:t>Consider if patients are open to acceptance and mindfulness-based approaches.</w:t>
            </w:r>
          </w:p>
          <w:p w14:paraId="6734E93E" w14:textId="1592129D" w:rsidR="00A8378D" w:rsidRDefault="00A8378D" w:rsidP="00A8378D">
            <w:r>
              <w:t>Consider the importance of pain vs. functional outcomes.</w:t>
            </w:r>
          </w:p>
          <w:p w14:paraId="663FFD53" w14:textId="4C7107F4" w:rsidR="00A8378D" w:rsidRDefault="00A8378D" w:rsidP="00A8378D">
            <w:r>
              <w:t>Consider community resources and availability.</w:t>
            </w:r>
          </w:p>
        </w:tc>
      </w:tr>
      <w:tr w:rsidR="00A8378D" w14:paraId="7787EDB3" w14:textId="77777777" w:rsidTr="00D80DF8">
        <w:tc>
          <w:tcPr>
            <w:tcW w:w="2689" w:type="dxa"/>
          </w:tcPr>
          <w:p w14:paraId="00A8E4A2" w14:textId="66B62A1F" w:rsidR="00A8378D" w:rsidRDefault="00A8378D" w:rsidP="00A8378D">
            <w:r>
              <w:t>Cognitive Behavior Therapy for Insomnia (CBT-I)</w:t>
            </w:r>
          </w:p>
        </w:tc>
        <w:tc>
          <w:tcPr>
            <w:tcW w:w="5953" w:type="dxa"/>
          </w:tcPr>
          <w:p w14:paraId="6A57DB10" w14:textId="7C4F7468" w:rsidR="00A8378D" w:rsidRPr="00532178" w:rsidRDefault="00A8378D" w:rsidP="00A8378D">
            <w:r>
              <w:t>11 RCTs indicate large effects for sleep (</w:t>
            </w:r>
            <w:r>
              <w:rPr>
                <w:i/>
              </w:rPr>
              <w:t>SMD</w:t>
            </w:r>
            <w:r>
              <w:t xml:space="preserve"> = 0.78), and small effects for pain (</w:t>
            </w:r>
            <w:r>
              <w:rPr>
                <w:i/>
              </w:rPr>
              <w:t>SMD</w:t>
            </w:r>
            <w:r>
              <w:t xml:space="preserve"> = 0.18) and depressed mood (</w:t>
            </w:r>
            <w:r>
              <w:rPr>
                <w:i/>
              </w:rPr>
              <w:t>SMD</w:t>
            </w:r>
            <w:r>
              <w:t xml:space="preserve"> = 0.31).</w:t>
            </w:r>
          </w:p>
        </w:tc>
        <w:tc>
          <w:tcPr>
            <w:tcW w:w="4820" w:type="dxa"/>
          </w:tcPr>
          <w:p w14:paraId="477BE834" w14:textId="17188D2C" w:rsidR="00A8378D" w:rsidRDefault="00A8378D" w:rsidP="00A8378D">
            <w:r>
              <w:t>Consider whether patient suffers from chronic pain as well as insomnia.</w:t>
            </w:r>
          </w:p>
        </w:tc>
      </w:tr>
      <w:tr w:rsidR="00A8378D" w14:paraId="27DD2A0E" w14:textId="77777777" w:rsidTr="00D80DF8">
        <w:tc>
          <w:tcPr>
            <w:tcW w:w="2689" w:type="dxa"/>
          </w:tcPr>
          <w:p w14:paraId="34B6F1ED" w14:textId="19E7D352" w:rsidR="00A8378D" w:rsidRDefault="00A8378D" w:rsidP="00A8378D">
            <w:r>
              <w:t>Expectation</w:t>
            </w:r>
          </w:p>
        </w:tc>
        <w:tc>
          <w:tcPr>
            <w:tcW w:w="5953" w:type="dxa"/>
          </w:tcPr>
          <w:p w14:paraId="3976C697" w14:textId="77777777" w:rsidR="00A8378D" w:rsidRDefault="00A8378D" w:rsidP="00A8378D">
            <w:r>
              <w:t>Verbal suggestion, conditioning, mental imagery.</w:t>
            </w:r>
          </w:p>
          <w:p w14:paraId="696BDB59" w14:textId="14B297BD" w:rsidR="00A8378D" w:rsidRPr="00E8675E" w:rsidRDefault="00E8675E" w:rsidP="00A8378D">
            <w:r>
              <w:t xml:space="preserve">6 </w:t>
            </w:r>
            <w:r w:rsidR="001C0BAB">
              <w:t>RCTs</w:t>
            </w:r>
            <w:r>
              <w:t xml:space="preserve"> indicated a small effect on reduction in pain (</w:t>
            </w:r>
            <w:r>
              <w:rPr>
                <w:i/>
              </w:rPr>
              <w:t>SMD</w:t>
            </w:r>
            <w:r>
              <w:t xml:space="preserve"> = 0.30).</w:t>
            </w:r>
          </w:p>
        </w:tc>
        <w:tc>
          <w:tcPr>
            <w:tcW w:w="4820" w:type="dxa"/>
          </w:tcPr>
          <w:p w14:paraId="0923C20D" w14:textId="77777777" w:rsidR="00A8378D" w:rsidRDefault="00C128CB" w:rsidP="00A8378D">
            <w:r>
              <w:t>The placebo effect is powerful, but so to is the nocebo effect.</w:t>
            </w:r>
          </w:p>
          <w:p w14:paraId="69CAE5C2" w14:textId="2348B7A4" w:rsidR="00C128CB" w:rsidRDefault="00C128CB" w:rsidP="00A8378D">
            <w:r>
              <w:t>Consider methods to instill accurate hope and optimism for treatment.</w:t>
            </w:r>
          </w:p>
        </w:tc>
      </w:tr>
      <w:tr w:rsidR="00A758C2" w14:paraId="182E956A" w14:textId="77777777" w:rsidTr="00D80DF8">
        <w:tc>
          <w:tcPr>
            <w:tcW w:w="2689" w:type="dxa"/>
          </w:tcPr>
          <w:p w14:paraId="35A1E536" w14:textId="165F0D2F" w:rsidR="00A758C2" w:rsidRPr="006D49D1" w:rsidRDefault="006D49D1" w:rsidP="00A8378D">
            <w:pPr>
              <w:rPr>
                <w:b/>
                <w:i/>
              </w:rPr>
            </w:pPr>
            <w:r>
              <w:rPr>
                <w:b/>
                <w:i/>
              </w:rPr>
              <w:t>Interdisciplinary Chronic Pain Programs</w:t>
            </w:r>
          </w:p>
        </w:tc>
        <w:tc>
          <w:tcPr>
            <w:tcW w:w="5953" w:type="dxa"/>
          </w:tcPr>
          <w:p w14:paraId="1EE30B61" w14:textId="3814743A" w:rsidR="00A758C2" w:rsidRPr="006D49D1" w:rsidRDefault="006D49D1" w:rsidP="00A8378D">
            <w:r>
              <w:t>Have been shown to outperform usual care, pharmacotherapy, and psychological interventions and physical interventions when used in isolation (</w:t>
            </w:r>
            <w:r>
              <w:rPr>
                <w:i/>
              </w:rPr>
              <w:t>SMDs</w:t>
            </w:r>
            <w:r>
              <w:t xml:space="preserve"> = 0.20 – 0.50).</w:t>
            </w:r>
          </w:p>
        </w:tc>
        <w:tc>
          <w:tcPr>
            <w:tcW w:w="4820" w:type="dxa"/>
          </w:tcPr>
          <w:p w14:paraId="07385C03" w14:textId="43F025CB" w:rsidR="00A758C2" w:rsidRDefault="006D49D1" w:rsidP="00A8378D">
            <w:r>
              <w:t>Consider community resources, waitlist duration, and patient</w:t>
            </w:r>
            <w:r w:rsidR="00F91533">
              <w:t xml:space="preserve"> readiness and</w:t>
            </w:r>
            <w:r>
              <w:t xml:space="preserve"> suitability for group treatment.</w:t>
            </w:r>
          </w:p>
        </w:tc>
      </w:tr>
    </w:tbl>
    <w:p w14:paraId="79E41622" w14:textId="7678AA36" w:rsidR="0053724D" w:rsidRDefault="00B26360">
      <w:r>
        <w:t>Note. RCT = Randomized Controlled Trial; SMD = Standardized Mean Difference</w:t>
      </w:r>
    </w:p>
    <w:p w14:paraId="0E26D148" w14:textId="2A8F58C1" w:rsidR="00D32BFD" w:rsidRDefault="00D32BFD">
      <w:r>
        <w:br w:type="page"/>
      </w:r>
    </w:p>
    <w:p w14:paraId="584C9B7C" w14:textId="057E0FC0" w:rsidR="00D32BFD" w:rsidRPr="00C128CB" w:rsidRDefault="00D32BFD" w:rsidP="00153B01">
      <w:pPr>
        <w:spacing w:after="0"/>
        <w:rPr>
          <w:rFonts w:ascii="Times New Roman" w:hAnsi="Times New Roman" w:cs="Times New Roman"/>
          <w:sz w:val="24"/>
          <w:szCs w:val="24"/>
        </w:rPr>
      </w:pPr>
      <w:r w:rsidRPr="00C128CB">
        <w:rPr>
          <w:rFonts w:ascii="Times New Roman" w:hAnsi="Times New Roman" w:cs="Times New Roman"/>
          <w:sz w:val="24"/>
          <w:szCs w:val="24"/>
        </w:rPr>
        <w:lastRenderedPageBreak/>
        <w:t>Table 2</w:t>
      </w:r>
    </w:p>
    <w:p w14:paraId="502EF405" w14:textId="124EC577" w:rsidR="00D32BFD" w:rsidRPr="00C128CB" w:rsidRDefault="00D32BFD" w:rsidP="00153B01">
      <w:pPr>
        <w:spacing w:after="0"/>
        <w:rPr>
          <w:rFonts w:ascii="Times New Roman" w:hAnsi="Times New Roman" w:cs="Times New Roman"/>
          <w:sz w:val="24"/>
          <w:szCs w:val="24"/>
        </w:rPr>
      </w:pPr>
      <w:r w:rsidRPr="00C128CB">
        <w:rPr>
          <w:rFonts w:ascii="Times New Roman" w:hAnsi="Times New Roman" w:cs="Times New Roman"/>
          <w:i/>
          <w:sz w:val="24"/>
          <w:szCs w:val="24"/>
        </w:rPr>
        <w:t>Important Treatment Targets for Patients with Chronic Pain</w:t>
      </w:r>
    </w:p>
    <w:tbl>
      <w:tblPr>
        <w:tblStyle w:val="TableGrid"/>
        <w:tblW w:w="13745" w:type="dxa"/>
        <w:tblLook w:val="04A0" w:firstRow="1" w:lastRow="0" w:firstColumn="1" w:lastColumn="0" w:noHBand="0" w:noVBand="1"/>
      </w:tblPr>
      <w:tblGrid>
        <w:gridCol w:w="2122"/>
        <w:gridCol w:w="4961"/>
        <w:gridCol w:w="6662"/>
      </w:tblGrid>
      <w:tr w:rsidR="00D32BFD" w14:paraId="44FA8E65" w14:textId="77777777" w:rsidTr="00153B01">
        <w:tc>
          <w:tcPr>
            <w:tcW w:w="2122" w:type="dxa"/>
          </w:tcPr>
          <w:p w14:paraId="426C11A5" w14:textId="1CF3C88F" w:rsidR="00D32BFD" w:rsidRPr="00D32BFD" w:rsidRDefault="00D32BFD" w:rsidP="00D32BFD">
            <w:pPr>
              <w:jc w:val="center"/>
              <w:rPr>
                <w:b/>
              </w:rPr>
            </w:pPr>
            <w:r w:rsidRPr="00D32BFD">
              <w:rPr>
                <w:b/>
              </w:rPr>
              <w:t>Target</w:t>
            </w:r>
          </w:p>
        </w:tc>
        <w:tc>
          <w:tcPr>
            <w:tcW w:w="4961" w:type="dxa"/>
          </w:tcPr>
          <w:p w14:paraId="46EDC74D" w14:textId="474F2E78" w:rsidR="00D32BFD" w:rsidRPr="00D32BFD" w:rsidRDefault="00D32BFD" w:rsidP="00D32BFD">
            <w:pPr>
              <w:jc w:val="center"/>
              <w:rPr>
                <w:b/>
              </w:rPr>
            </w:pPr>
            <w:r w:rsidRPr="00D32BFD">
              <w:rPr>
                <w:b/>
              </w:rPr>
              <w:t>Evidence</w:t>
            </w:r>
            <w:r>
              <w:rPr>
                <w:b/>
              </w:rPr>
              <w:t xml:space="preserve"> &amp; Assessment</w:t>
            </w:r>
          </w:p>
        </w:tc>
        <w:tc>
          <w:tcPr>
            <w:tcW w:w="6662" w:type="dxa"/>
          </w:tcPr>
          <w:p w14:paraId="2B039F14" w14:textId="0FC87AA6" w:rsidR="00D32BFD" w:rsidRPr="00D32BFD" w:rsidRDefault="009461C6" w:rsidP="00D32BFD">
            <w:pPr>
              <w:jc w:val="center"/>
              <w:rPr>
                <w:b/>
              </w:rPr>
            </w:pPr>
            <w:r>
              <w:rPr>
                <w:b/>
              </w:rPr>
              <w:t xml:space="preserve">Assessment </w:t>
            </w:r>
            <w:r w:rsidR="00D32BFD" w:rsidRPr="00D32BFD">
              <w:rPr>
                <w:b/>
              </w:rPr>
              <w:t>Considerations</w:t>
            </w:r>
          </w:p>
        </w:tc>
      </w:tr>
      <w:tr w:rsidR="00D32BFD" w14:paraId="21A2A937" w14:textId="77777777" w:rsidTr="00153B01">
        <w:tc>
          <w:tcPr>
            <w:tcW w:w="2122" w:type="dxa"/>
          </w:tcPr>
          <w:p w14:paraId="5B358125" w14:textId="3F2DA10B" w:rsidR="00D32BFD" w:rsidRPr="00D32BFD" w:rsidRDefault="00D32BFD">
            <w:r>
              <w:rPr>
                <w:b/>
                <w:i/>
              </w:rPr>
              <w:t>Physical Function</w:t>
            </w:r>
          </w:p>
        </w:tc>
        <w:tc>
          <w:tcPr>
            <w:tcW w:w="4961" w:type="dxa"/>
          </w:tcPr>
          <w:p w14:paraId="2EA85B15" w14:textId="36F314C5" w:rsidR="00D32BFD" w:rsidRDefault="00D32BFD"/>
        </w:tc>
        <w:tc>
          <w:tcPr>
            <w:tcW w:w="6662" w:type="dxa"/>
          </w:tcPr>
          <w:p w14:paraId="0BBB0B06" w14:textId="6B04EC88" w:rsidR="009461C6" w:rsidRDefault="009461C6" w:rsidP="00CC114A"/>
        </w:tc>
      </w:tr>
      <w:tr w:rsidR="001B789A" w14:paraId="57756A99" w14:textId="77777777" w:rsidTr="00153B01">
        <w:tc>
          <w:tcPr>
            <w:tcW w:w="2122" w:type="dxa"/>
          </w:tcPr>
          <w:p w14:paraId="72AE26A8" w14:textId="4BEB76F8" w:rsidR="001B789A" w:rsidRPr="001B789A" w:rsidRDefault="001B789A" w:rsidP="001B789A">
            <w:r>
              <w:t>Interference</w:t>
            </w:r>
          </w:p>
        </w:tc>
        <w:tc>
          <w:tcPr>
            <w:tcW w:w="4961" w:type="dxa"/>
          </w:tcPr>
          <w:p w14:paraId="1D580FC9" w14:textId="77777777" w:rsidR="001B789A" w:rsidRDefault="001B789A" w:rsidP="001B789A">
            <w:r>
              <w:t xml:space="preserve">Pain interferes with daily activities and physical function. </w:t>
            </w:r>
          </w:p>
          <w:p w14:paraId="1E0DF072" w14:textId="5662596D" w:rsidR="001B789A" w:rsidRDefault="001B789A" w:rsidP="001B789A">
            <w:r>
              <w:t>Improvement in physical function often results in a more meaningful improvement in patient lives.</w:t>
            </w:r>
          </w:p>
        </w:tc>
        <w:tc>
          <w:tcPr>
            <w:tcW w:w="6662" w:type="dxa"/>
          </w:tcPr>
          <w:p w14:paraId="160D8869" w14:textId="77777777" w:rsidR="001B789A" w:rsidRDefault="001B789A" w:rsidP="001B789A">
            <w:r>
              <w:t>Often measured using the interference scale of the Brief Pain Inventory (BPI) or Multidimensional Pain Inventory (MPI).</w:t>
            </w:r>
          </w:p>
          <w:p w14:paraId="2036E782" w14:textId="77777777" w:rsidR="001B789A" w:rsidRPr="009461C6" w:rsidRDefault="001B789A" w:rsidP="001B789A">
            <w:pPr>
              <w:rPr>
                <w:b/>
                <w:i/>
              </w:rPr>
            </w:pPr>
            <w:r w:rsidRPr="009461C6">
              <w:rPr>
                <w:b/>
                <w:i/>
              </w:rPr>
              <w:t xml:space="preserve">Clinically </w:t>
            </w:r>
            <w:r>
              <w:rPr>
                <w:b/>
                <w:i/>
              </w:rPr>
              <w:t>meaningful</w:t>
            </w:r>
            <w:r w:rsidRPr="009461C6">
              <w:rPr>
                <w:b/>
                <w:i/>
              </w:rPr>
              <w:t xml:space="preserve"> difference:</w:t>
            </w:r>
          </w:p>
          <w:p w14:paraId="17CE112B" w14:textId="755C2503" w:rsidR="001B789A" w:rsidRDefault="001B789A" w:rsidP="001B789A">
            <w:r>
              <w:t xml:space="preserve">BPI: </w:t>
            </w:r>
            <w:r>
              <w:rPr>
                <w:rFonts w:cstheme="minorHAnsi"/>
              </w:rPr>
              <w:t>≥</w:t>
            </w:r>
            <w:r>
              <w:t xml:space="preserve"> 1-point reduction; MPI: </w:t>
            </w:r>
            <w:r>
              <w:rPr>
                <w:rFonts w:cstheme="minorHAnsi"/>
              </w:rPr>
              <w:t>≥</w:t>
            </w:r>
            <w:r>
              <w:t xml:space="preserve"> 1-point reduction</w:t>
            </w:r>
          </w:p>
        </w:tc>
      </w:tr>
      <w:tr w:rsidR="001B789A" w14:paraId="0EFDF017" w14:textId="77777777" w:rsidTr="00153B01">
        <w:tc>
          <w:tcPr>
            <w:tcW w:w="2122" w:type="dxa"/>
          </w:tcPr>
          <w:p w14:paraId="48217D12" w14:textId="06A67C6B" w:rsidR="001B789A" w:rsidRPr="001B789A" w:rsidRDefault="001B789A">
            <w:r>
              <w:t>Health-Related Quality of Life (</w:t>
            </w:r>
            <w:proofErr w:type="spellStart"/>
            <w:r>
              <w:t>HRQoL</w:t>
            </w:r>
            <w:proofErr w:type="spellEnd"/>
            <w:r>
              <w:t>)</w:t>
            </w:r>
          </w:p>
        </w:tc>
        <w:tc>
          <w:tcPr>
            <w:tcW w:w="4961" w:type="dxa"/>
          </w:tcPr>
          <w:p w14:paraId="47C800FE" w14:textId="3A052ADF" w:rsidR="001B789A" w:rsidRDefault="001B789A">
            <w:r>
              <w:t xml:space="preserve">Patients with chronic pain report lower </w:t>
            </w:r>
            <w:proofErr w:type="spellStart"/>
            <w:r>
              <w:t>HRQoL</w:t>
            </w:r>
            <w:proofErr w:type="spellEnd"/>
            <w:r>
              <w:t xml:space="preserve"> than individuals with other chronic conditions (e.g., cancer, myocardial infarction, or stroke).</w:t>
            </w:r>
          </w:p>
        </w:tc>
        <w:tc>
          <w:tcPr>
            <w:tcW w:w="6662" w:type="dxa"/>
          </w:tcPr>
          <w:p w14:paraId="7E95948F" w14:textId="77777777" w:rsidR="001B789A" w:rsidRDefault="001B789A">
            <w:r>
              <w:t xml:space="preserve">Often measured using the </w:t>
            </w:r>
            <w:proofErr w:type="spellStart"/>
            <w:r>
              <w:t>EuroQuol</w:t>
            </w:r>
            <w:proofErr w:type="spellEnd"/>
            <w:r>
              <w:t xml:space="preserve"> 5-D (EQ-5D) or</w:t>
            </w:r>
            <w:r w:rsidR="001003F0">
              <w:t xml:space="preserve"> the physical subscale of the</w:t>
            </w:r>
            <w:r>
              <w:t xml:space="preserve"> </w:t>
            </w:r>
            <w:r w:rsidR="001003F0">
              <w:t>Short-Form-12 (SF-12)</w:t>
            </w:r>
          </w:p>
          <w:p w14:paraId="4B712869" w14:textId="77777777" w:rsidR="001003F0" w:rsidRPr="009461C6" w:rsidRDefault="001003F0" w:rsidP="001003F0">
            <w:pPr>
              <w:rPr>
                <w:b/>
                <w:i/>
              </w:rPr>
            </w:pPr>
            <w:r w:rsidRPr="009461C6">
              <w:rPr>
                <w:b/>
                <w:i/>
              </w:rPr>
              <w:t xml:space="preserve">Clinically </w:t>
            </w:r>
            <w:r>
              <w:rPr>
                <w:b/>
                <w:i/>
              </w:rPr>
              <w:t>meaningful</w:t>
            </w:r>
            <w:r w:rsidRPr="009461C6">
              <w:rPr>
                <w:b/>
                <w:i/>
              </w:rPr>
              <w:t xml:space="preserve"> difference:</w:t>
            </w:r>
          </w:p>
          <w:p w14:paraId="5EDAE7DD" w14:textId="15DAABA3" w:rsidR="001003F0" w:rsidRDefault="001003F0" w:rsidP="001003F0">
            <w:r>
              <w:t xml:space="preserve">EQ-5D: </w:t>
            </w:r>
            <w:r>
              <w:rPr>
                <w:rFonts w:cstheme="minorHAnsi"/>
              </w:rPr>
              <w:t>≥</w:t>
            </w:r>
            <w:r>
              <w:t xml:space="preserve"> 0.10-point </w:t>
            </w:r>
            <w:r w:rsidR="000824C4">
              <w:t>improvement</w:t>
            </w:r>
            <w:r>
              <w:t xml:space="preserve">; </w:t>
            </w:r>
            <w:r w:rsidR="000824C4">
              <w:t>SF-12</w:t>
            </w:r>
            <w:r>
              <w:t xml:space="preserve">: </w:t>
            </w:r>
            <w:r>
              <w:rPr>
                <w:rFonts w:cstheme="minorHAnsi"/>
              </w:rPr>
              <w:t>≥</w:t>
            </w:r>
            <w:r>
              <w:t xml:space="preserve"> </w:t>
            </w:r>
            <w:r w:rsidR="00153B01">
              <w:t>4.3</w:t>
            </w:r>
            <w:r>
              <w:t xml:space="preserve">-point </w:t>
            </w:r>
            <w:r w:rsidR="00153B01">
              <w:t>improvement</w:t>
            </w:r>
          </w:p>
        </w:tc>
      </w:tr>
      <w:tr w:rsidR="00D32BFD" w14:paraId="635E3424" w14:textId="77777777" w:rsidTr="00153B01">
        <w:tc>
          <w:tcPr>
            <w:tcW w:w="2122" w:type="dxa"/>
          </w:tcPr>
          <w:p w14:paraId="78427A1E" w14:textId="17B000C1" w:rsidR="00D32BFD" w:rsidRPr="009461C6" w:rsidRDefault="009461C6">
            <w:pPr>
              <w:rPr>
                <w:b/>
                <w:i/>
              </w:rPr>
            </w:pPr>
            <w:r>
              <w:rPr>
                <w:b/>
                <w:i/>
              </w:rPr>
              <w:t>Emotional Function</w:t>
            </w:r>
          </w:p>
        </w:tc>
        <w:tc>
          <w:tcPr>
            <w:tcW w:w="4961" w:type="dxa"/>
          </w:tcPr>
          <w:p w14:paraId="2953DA9E" w14:textId="77777777" w:rsidR="00D32BFD" w:rsidRDefault="00D32BFD"/>
        </w:tc>
        <w:tc>
          <w:tcPr>
            <w:tcW w:w="6662" w:type="dxa"/>
          </w:tcPr>
          <w:p w14:paraId="10F6B3D9" w14:textId="77777777" w:rsidR="00D32BFD" w:rsidRDefault="00D32BFD"/>
        </w:tc>
      </w:tr>
      <w:tr w:rsidR="00D32BFD" w14:paraId="49816D37" w14:textId="77777777" w:rsidTr="00153B01">
        <w:tc>
          <w:tcPr>
            <w:tcW w:w="2122" w:type="dxa"/>
          </w:tcPr>
          <w:p w14:paraId="30033EA4" w14:textId="294FA96D" w:rsidR="00D32BFD" w:rsidRDefault="00BB4772">
            <w:r>
              <w:t>Depression</w:t>
            </w:r>
          </w:p>
        </w:tc>
        <w:tc>
          <w:tcPr>
            <w:tcW w:w="4961" w:type="dxa"/>
          </w:tcPr>
          <w:p w14:paraId="3AB2D404" w14:textId="77777777" w:rsidR="00D32BFD" w:rsidRDefault="00CC114A">
            <w:r>
              <w:t>Estimated that 30%-50% of patients with chronic pain experience clinical depression (3-5-fold increase in risk).</w:t>
            </w:r>
          </w:p>
          <w:p w14:paraId="0786F332" w14:textId="10091E82" w:rsidR="00CC114A" w:rsidRDefault="00CC114A">
            <w:r>
              <w:t>Depression is associated with poor outcomes and worse quality of life</w:t>
            </w:r>
            <w:r w:rsidR="00BB4772">
              <w:t xml:space="preserve"> among patients with chronic pain.</w:t>
            </w:r>
          </w:p>
        </w:tc>
        <w:tc>
          <w:tcPr>
            <w:tcW w:w="6662" w:type="dxa"/>
          </w:tcPr>
          <w:p w14:paraId="51AFCB03" w14:textId="77777777" w:rsidR="00D32BFD" w:rsidRDefault="00CC114A">
            <w:r>
              <w:t>Often measured using Beck Depression Inventory-2 (BDI-2), Patient Health Questionnaire-9 (PHQ-9); Hospital Anxiety Depression Scale (HADS); or Centre for Epidemiological Studies Depression Scale – Revised (CESD-R).</w:t>
            </w:r>
          </w:p>
          <w:p w14:paraId="600C0555" w14:textId="77777777" w:rsidR="00CC114A" w:rsidRPr="009461C6" w:rsidRDefault="00CC114A" w:rsidP="00CC114A">
            <w:pPr>
              <w:rPr>
                <w:b/>
                <w:i/>
              </w:rPr>
            </w:pPr>
            <w:r w:rsidRPr="009461C6">
              <w:rPr>
                <w:b/>
                <w:i/>
              </w:rPr>
              <w:t xml:space="preserve">Clinically </w:t>
            </w:r>
            <w:r>
              <w:rPr>
                <w:b/>
                <w:i/>
              </w:rPr>
              <w:t>meaningful</w:t>
            </w:r>
            <w:r w:rsidRPr="009461C6">
              <w:rPr>
                <w:b/>
                <w:i/>
              </w:rPr>
              <w:t xml:space="preserve"> difference:</w:t>
            </w:r>
          </w:p>
          <w:p w14:paraId="5F2C81EE" w14:textId="1C6D679E" w:rsidR="00CC114A" w:rsidRDefault="00CC114A">
            <w:r>
              <w:t xml:space="preserve">BDI-2: </w:t>
            </w:r>
            <w:r>
              <w:rPr>
                <w:rFonts w:cstheme="minorHAnsi"/>
              </w:rPr>
              <w:t>≥</w:t>
            </w:r>
            <w:r>
              <w:t xml:space="preserve"> 5-point reduction; PHQ-9: </w:t>
            </w:r>
            <w:r>
              <w:rPr>
                <w:rFonts w:cstheme="minorHAnsi"/>
              </w:rPr>
              <w:t>≥ 5</w:t>
            </w:r>
            <w:r w:rsidR="00BB4772">
              <w:rPr>
                <w:rFonts w:cstheme="minorHAnsi"/>
              </w:rPr>
              <w:t>0%</w:t>
            </w:r>
            <w:r>
              <w:rPr>
                <w:rFonts w:cstheme="minorHAnsi"/>
              </w:rPr>
              <w:t xml:space="preserve"> reduction</w:t>
            </w:r>
            <w:r w:rsidR="00BB4772">
              <w:rPr>
                <w:rFonts w:cstheme="minorHAnsi"/>
              </w:rPr>
              <w:t xml:space="preserve">; </w:t>
            </w:r>
          </w:p>
        </w:tc>
      </w:tr>
      <w:tr w:rsidR="00D32BFD" w14:paraId="57207D3B" w14:textId="77777777" w:rsidTr="00153B01">
        <w:tc>
          <w:tcPr>
            <w:tcW w:w="2122" w:type="dxa"/>
          </w:tcPr>
          <w:p w14:paraId="0547A416" w14:textId="43EEE561" w:rsidR="00D32BFD" w:rsidRDefault="00BB4772">
            <w:r>
              <w:t>Anxiety</w:t>
            </w:r>
          </w:p>
        </w:tc>
        <w:tc>
          <w:tcPr>
            <w:tcW w:w="4961" w:type="dxa"/>
          </w:tcPr>
          <w:p w14:paraId="53669F74" w14:textId="77777777" w:rsidR="00D32BFD" w:rsidRDefault="00BB4772">
            <w:r>
              <w:t>Estimated that 25% of patients with chronic pain experience clinically relevant levels of anxiety</w:t>
            </w:r>
            <w:r w:rsidR="007251F6">
              <w:t xml:space="preserve"> (2.2-fold increase in risk).</w:t>
            </w:r>
          </w:p>
          <w:p w14:paraId="286E8FF3" w14:textId="3AB3376C" w:rsidR="007251F6" w:rsidRDefault="007251F6">
            <w:r>
              <w:t>Anxiety is directly related to pain and function.</w:t>
            </w:r>
          </w:p>
        </w:tc>
        <w:tc>
          <w:tcPr>
            <w:tcW w:w="6662" w:type="dxa"/>
          </w:tcPr>
          <w:p w14:paraId="1E6003BB" w14:textId="50AF440A" w:rsidR="00D32BFD" w:rsidRDefault="007251F6">
            <w:r>
              <w:t>Often measured using the</w:t>
            </w:r>
            <w:r w:rsidR="00AB0140">
              <w:t xml:space="preserve"> Beck Anxiety Inventory (BAI);</w:t>
            </w:r>
            <w:r>
              <w:t xml:space="preserve"> HADS; Generalized Anxiety Disorder – 7 (GAD-7); or PTSD Checklist for DSM-5 (PCL-5).</w:t>
            </w:r>
          </w:p>
          <w:p w14:paraId="647BD906" w14:textId="77777777" w:rsidR="007251F6" w:rsidRPr="009461C6" w:rsidRDefault="007251F6" w:rsidP="007251F6">
            <w:pPr>
              <w:rPr>
                <w:b/>
                <w:i/>
              </w:rPr>
            </w:pPr>
            <w:r w:rsidRPr="009461C6">
              <w:rPr>
                <w:b/>
                <w:i/>
              </w:rPr>
              <w:t xml:space="preserve">Clinically </w:t>
            </w:r>
            <w:r>
              <w:rPr>
                <w:b/>
                <w:i/>
              </w:rPr>
              <w:t>meaningful</w:t>
            </w:r>
            <w:r w:rsidRPr="009461C6">
              <w:rPr>
                <w:b/>
                <w:i/>
              </w:rPr>
              <w:t xml:space="preserve"> difference:</w:t>
            </w:r>
          </w:p>
          <w:p w14:paraId="34951A58" w14:textId="598AB847" w:rsidR="007251F6" w:rsidRDefault="007251F6">
            <w:r>
              <w:t xml:space="preserve">GAD-7 </w:t>
            </w:r>
            <w:r>
              <w:rPr>
                <w:rFonts w:cstheme="minorHAnsi"/>
              </w:rPr>
              <w:t>≥</w:t>
            </w:r>
            <w:r>
              <w:t xml:space="preserve"> 5-point reduction; PCL-5 </w:t>
            </w:r>
            <w:r>
              <w:rPr>
                <w:rFonts w:cstheme="minorHAnsi"/>
              </w:rPr>
              <w:t>≥</w:t>
            </w:r>
            <w:r>
              <w:t xml:space="preserve"> 10-point reduction.</w:t>
            </w:r>
          </w:p>
        </w:tc>
      </w:tr>
      <w:tr w:rsidR="00D32BFD" w14:paraId="1AF9A7B5" w14:textId="77777777" w:rsidTr="00153B01">
        <w:tc>
          <w:tcPr>
            <w:tcW w:w="2122" w:type="dxa"/>
          </w:tcPr>
          <w:p w14:paraId="1471236B" w14:textId="6B91322A" w:rsidR="00D32BFD" w:rsidRDefault="00AB0140">
            <w:r>
              <w:t>Suicidal Ideation</w:t>
            </w:r>
            <w:r w:rsidR="001B789A">
              <w:t xml:space="preserve"> &amp; Attempts</w:t>
            </w:r>
          </w:p>
        </w:tc>
        <w:tc>
          <w:tcPr>
            <w:tcW w:w="4961" w:type="dxa"/>
          </w:tcPr>
          <w:p w14:paraId="27336229" w14:textId="77777777" w:rsidR="00D32BFD" w:rsidRDefault="00AB0140">
            <w:r>
              <w:t>Estimated prevalence of suicide among patients with chronic pain is 5%-14% and suicidal ideation is 20%.</w:t>
            </w:r>
          </w:p>
          <w:p w14:paraId="53687153" w14:textId="08C79F2B" w:rsidR="00AB0140" w:rsidRDefault="00AB0140">
            <w:r>
              <w:t xml:space="preserve">Highly correlated with </w:t>
            </w:r>
            <w:r w:rsidRPr="001B789A">
              <w:rPr>
                <w:b/>
                <w:i/>
              </w:rPr>
              <w:t xml:space="preserve">perceived </w:t>
            </w:r>
            <w:r w:rsidR="001B789A" w:rsidRPr="001B789A">
              <w:rPr>
                <w:b/>
                <w:i/>
              </w:rPr>
              <w:t>burdensomeness</w:t>
            </w:r>
            <w:r w:rsidR="001B789A">
              <w:t>.</w:t>
            </w:r>
          </w:p>
        </w:tc>
        <w:tc>
          <w:tcPr>
            <w:tcW w:w="6662" w:type="dxa"/>
          </w:tcPr>
          <w:p w14:paraId="4FFAD8FE" w14:textId="77777777" w:rsidR="00D32BFD" w:rsidRDefault="001B789A">
            <w:r>
              <w:t>Best triangulated using a measure of suicidal ideation such as the Beck Scale for Suicidal Ideation (BSS), and perceived burdensomeness such as the Self Perceived Burdensomeness Scale (SPBS) or the Interpersonal Needs Questionnaire Perceived Burdensomeness Scale (INQPBS).</w:t>
            </w:r>
          </w:p>
          <w:p w14:paraId="68D0527E" w14:textId="0877A84D" w:rsidR="001B789A" w:rsidRDefault="001B789A">
            <w:r>
              <w:t>Consider risk factors and protective factors as well as patient willingness to agree to a mutually developed safety plan.</w:t>
            </w:r>
          </w:p>
        </w:tc>
      </w:tr>
      <w:tr w:rsidR="00D32BFD" w14:paraId="0CCB57D8" w14:textId="77777777" w:rsidTr="00153B01">
        <w:tc>
          <w:tcPr>
            <w:tcW w:w="2122" w:type="dxa"/>
          </w:tcPr>
          <w:p w14:paraId="76A38EDC" w14:textId="5392DDB7" w:rsidR="00D32BFD" w:rsidRPr="007251F6" w:rsidRDefault="007251F6">
            <w:pPr>
              <w:rPr>
                <w:b/>
                <w:i/>
              </w:rPr>
            </w:pPr>
            <w:r>
              <w:rPr>
                <w:b/>
                <w:i/>
              </w:rPr>
              <w:t>Sleep Disturbance</w:t>
            </w:r>
          </w:p>
        </w:tc>
        <w:tc>
          <w:tcPr>
            <w:tcW w:w="4961" w:type="dxa"/>
          </w:tcPr>
          <w:p w14:paraId="2A23D11D" w14:textId="77777777" w:rsidR="00D32BFD" w:rsidRDefault="00EC4279">
            <w:r>
              <w:t>Estimated that 60% of patients with chronic pain experience clinically relevant problems with sleep.</w:t>
            </w:r>
          </w:p>
          <w:p w14:paraId="7BAC9264" w14:textId="71ED5FC6" w:rsidR="00EC4279" w:rsidRDefault="00EC4279">
            <w:r>
              <w:t>Sleep and pain are bidirectionally related.</w:t>
            </w:r>
          </w:p>
        </w:tc>
        <w:tc>
          <w:tcPr>
            <w:tcW w:w="6662" w:type="dxa"/>
          </w:tcPr>
          <w:p w14:paraId="76C842F9" w14:textId="77777777" w:rsidR="00D32BFD" w:rsidRDefault="00EC4279">
            <w:r>
              <w:t>Often measured using the Insomnia Severity Index (ISI) or Pittsburgh Sleep Quality Inventory (PSQI).</w:t>
            </w:r>
          </w:p>
          <w:p w14:paraId="4D615A2F" w14:textId="77777777" w:rsidR="00EC4279" w:rsidRPr="009461C6" w:rsidRDefault="00EC4279" w:rsidP="00EC4279">
            <w:pPr>
              <w:rPr>
                <w:b/>
                <w:i/>
              </w:rPr>
            </w:pPr>
            <w:r w:rsidRPr="009461C6">
              <w:rPr>
                <w:b/>
                <w:i/>
              </w:rPr>
              <w:t xml:space="preserve">Clinically </w:t>
            </w:r>
            <w:r>
              <w:rPr>
                <w:b/>
                <w:i/>
              </w:rPr>
              <w:t>meaningful</w:t>
            </w:r>
            <w:r w:rsidRPr="009461C6">
              <w:rPr>
                <w:b/>
                <w:i/>
              </w:rPr>
              <w:t xml:space="preserve"> difference:</w:t>
            </w:r>
          </w:p>
          <w:p w14:paraId="26790BED" w14:textId="3CE593F3" w:rsidR="00EC4279" w:rsidRDefault="00EC4279" w:rsidP="00EC4279">
            <w:r>
              <w:t xml:space="preserve">ISI </w:t>
            </w:r>
            <w:r>
              <w:rPr>
                <w:rFonts w:cstheme="minorHAnsi"/>
              </w:rPr>
              <w:t>≥</w:t>
            </w:r>
            <w:r>
              <w:t xml:space="preserve"> 5-point reduction; PSQI </w:t>
            </w:r>
            <w:r>
              <w:rPr>
                <w:rFonts w:cstheme="minorHAnsi"/>
              </w:rPr>
              <w:t>≥</w:t>
            </w:r>
            <w:r>
              <w:t xml:space="preserve"> 10-point reduction.</w:t>
            </w:r>
          </w:p>
        </w:tc>
      </w:tr>
      <w:tr w:rsidR="001003F0" w14:paraId="392F06FE" w14:textId="77777777" w:rsidTr="00153B01">
        <w:tc>
          <w:tcPr>
            <w:tcW w:w="2122" w:type="dxa"/>
          </w:tcPr>
          <w:p w14:paraId="6302C186" w14:textId="41611FFD" w:rsidR="001003F0" w:rsidRDefault="001003F0">
            <w:pPr>
              <w:rPr>
                <w:b/>
                <w:i/>
              </w:rPr>
            </w:pPr>
            <w:r>
              <w:rPr>
                <w:b/>
                <w:i/>
              </w:rPr>
              <w:t>Global rating of Improvement</w:t>
            </w:r>
          </w:p>
        </w:tc>
        <w:tc>
          <w:tcPr>
            <w:tcW w:w="4961" w:type="dxa"/>
          </w:tcPr>
          <w:p w14:paraId="7BC71C39" w14:textId="6362F68E" w:rsidR="001003F0" w:rsidRDefault="001003F0">
            <w:r>
              <w:t>Provides a summative rating of improvement on a 5-point scale.</w:t>
            </w:r>
          </w:p>
        </w:tc>
        <w:tc>
          <w:tcPr>
            <w:tcW w:w="6662" w:type="dxa"/>
          </w:tcPr>
          <w:p w14:paraId="2092C227" w14:textId="5AD5733F" w:rsidR="001003F0" w:rsidRDefault="001003F0">
            <w:r>
              <w:t>Measured following treatment using the Patient Global Impression of Change (PGIC) scale.</w:t>
            </w:r>
          </w:p>
        </w:tc>
      </w:tr>
    </w:tbl>
    <w:p w14:paraId="73D3F342" w14:textId="675AAAFA" w:rsidR="00540A0C" w:rsidRPr="009519E5" w:rsidRDefault="00540A0C" w:rsidP="009519E5">
      <w:pPr>
        <w:rPr>
          <w:rFonts w:ascii="Times New Roman" w:hAnsi="Times New Roman" w:cs="Times New Roman"/>
          <w:b/>
          <w:sz w:val="24"/>
          <w:szCs w:val="24"/>
        </w:rPr>
      </w:pPr>
      <w:r w:rsidRPr="009519E5">
        <w:rPr>
          <w:rFonts w:ascii="Times New Roman" w:hAnsi="Times New Roman" w:cs="Times New Roman"/>
          <w:b/>
          <w:sz w:val="24"/>
          <w:szCs w:val="24"/>
        </w:rPr>
        <w:lastRenderedPageBreak/>
        <w:t>Resources:</w:t>
      </w:r>
    </w:p>
    <w:p w14:paraId="73360467" w14:textId="7DAF4F55" w:rsidR="009519E5" w:rsidRPr="009519E5" w:rsidRDefault="009519E5" w:rsidP="00A61C82">
      <w:pPr>
        <w:spacing w:after="0"/>
        <w:ind w:left="720" w:hanging="720"/>
        <w:rPr>
          <w:rFonts w:ascii="Times New Roman" w:hAnsi="Times New Roman" w:cs="Times New Roman"/>
          <w:sz w:val="24"/>
          <w:szCs w:val="24"/>
        </w:rPr>
      </w:pPr>
      <w:r w:rsidRPr="009519E5">
        <w:rPr>
          <w:rFonts w:ascii="Times New Roman" w:hAnsi="Times New Roman" w:cs="Times New Roman"/>
          <w:sz w:val="24"/>
          <w:szCs w:val="24"/>
        </w:rPr>
        <w:t xml:space="preserve">Carlson, M. (2014). </w:t>
      </w:r>
      <w:r w:rsidRPr="009519E5">
        <w:rPr>
          <w:rFonts w:ascii="Times New Roman" w:hAnsi="Times New Roman" w:cs="Times New Roman"/>
          <w:i/>
          <w:iCs/>
          <w:sz w:val="24"/>
          <w:szCs w:val="24"/>
        </w:rPr>
        <w:t>CBT for chronic pain and psychological well-being: a skills training manual integrating DBT, ACT, behavioral activation and motivational interviewing</w:t>
      </w:r>
      <w:r w:rsidRPr="009519E5">
        <w:rPr>
          <w:rFonts w:ascii="Times New Roman" w:hAnsi="Times New Roman" w:cs="Times New Roman"/>
          <w:sz w:val="24"/>
          <w:szCs w:val="24"/>
        </w:rPr>
        <w:t>. John Wiley &amp; Sons.</w:t>
      </w:r>
    </w:p>
    <w:p w14:paraId="3B8D3AAA" w14:textId="77777777" w:rsidR="00940C55" w:rsidRDefault="00940C55" w:rsidP="00A61C82">
      <w:pPr>
        <w:spacing w:after="0"/>
        <w:ind w:left="720" w:hanging="720"/>
        <w:rPr>
          <w:rFonts w:ascii="Times New Roman" w:hAnsi="Times New Roman" w:cs="Times New Roman"/>
          <w:color w:val="222222"/>
          <w:sz w:val="24"/>
          <w:szCs w:val="24"/>
          <w:shd w:val="clear" w:color="auto" w:fill="FFFFFF"/>
        </w:rPr>
      </w:pPr>
      <w:r w:rsidRPr="00940C55">
        <w:rPr>
          <w:rFonts w:ascii="Times New Roman" w:hAnsi="Times New Roman" w:cs="Times New Roman"/>
          <w:color w:val="222222"/>
          <w:sz w:val="24"/>
          <w:szCs w:val="24"/>
          <w:shd w:val="clear" w:color="auto" w:fill="FFFFFF"/>
        </w:rPr>
        <w:t>Dahl, J., &amp; Lundgren, T. (2006). </w:t>
      </w:r>
      <w:r w:rsidRPr="00940C55">
        <w:rPr>
          <w:rFonts w:ascii="Times New Roman" w:hAnsi="Times New Roman" w:cs="Times New Roman"/>
          <w:i/>
          <w:iCs/>
          <w:color w:val="222222"/>
          <w:sz w:val="24"/>
          <w:szCs w:val="24"/>
          <w:shd w:val="clear" w:color="auto" w:fill="FFFFFF"/>
        </w:rPr>
        <w:t>Living beyond your pain: Using acceptance and commitment therapy to ease chronic pain</w:t>
      </w:r>
      <w:r w:rsidRPr="00940C55">
        <w:rPr>
          <w:rFonts w:ascii="Times New Roman" w:hAnsi="Times New Roman" w:cs="Times New Roman"/>
          <w:color w:val="222222"/>
          <w:sz w:val="24"/>
          <w:szCs w:val="24"/>
          <w:shd w:val="clear" w:color="auto" w:fill="FFFFFF"/>
        </w:rPr>
        <w:t>. New Harbinger Publications.</w:t>
      </w:r>
    </w:p>
    <w:p w14:paraId="1AFA61D3" w14:textId="3410691F" w:rsidR="009519E5" w:rsidRPr="00940C55" w:rsidRDefault="009519E5" w:rsidP="00A61C82">
      <w:pPr>
        <w:spacing w:after="0"/>
        <w:ind w:left="720" w:hanging="720"/>
        <w:rPr>
          <w:rFonts w:ascii="Times New Roman" w:hAnsi="Times New Roman" w:cs="Times New Roman"/>
          <w:sz w:val="24"/>
          <w:szCs w:val="24"/>
        </w:rPr>
      </w:pPr>
      <w:r w:rsidRPr="00940C55">
        <w:rPr>
          <w:rFonts w:ascii="Times New Roman" w:hAnsi="Times New Roman" w:cs="Times New Roman"/>
          <w:sz w:val="24"/>
          <w:szCs w:val="24"/>
        </w:rPr>
        <w:t xml:space="preserve">Lewandowski, M. J. (2006). </w:t>
      </w:r>
      <w:r w:rsidRPr="00940C55">
        <w:rPr>
          <w:rFonts w:ascii="Times New Roman" w:hAnsi="Times New Roman" w:cs="Times New Roman"/>
          <w:i/>
          <w:iCs/>
          <w:sz w:val="24"/>
          <w:szCs w:val="24"/>
        </w:rPr>
        <w:t>The chronic pain care workbook: A self-treatment approach to pain relief using the behavioral assessment of pain questionnaire</w:t>
      </w:r>
      <w:r w:rsidRPr="00940C55">
        <w:rPr>
          <w:rFonts w:ascii="Times New Roman" w:hAnsi="Times New Roman" w:cs="Times New Roman"/>
          <w:sz w:val="24"/>
          <w:szCs w:val="24"/>
        </w:rPr>
        <w:t>. New Harbinger Publications Incorporated.</w:t>
      </w:r>
    </w:p>
    <w:p w14:paraId="49836D62" w14:textId="7AC59E3C" w:rsidR="009519E5" w:rsidRPr="009519E5" w:rsidRDefault="009519E5" w:rsidP="00A61C82">
      <w:pPr>
        <w:spacing w:after="0" w:line="240" w:lineRule="auto"/>
        <w:rPr>
          <w:rFonts w:ascii="Times New Roman" w:eastAsia="Times New Roman" w:hAnsi="Times New Roman" w:cs="Times New Roman"/>
          <w:sz w:val="24"/>
          <w:szCs w:val="24"/>
          <w:lang w:eastAsia="en-CA"/>
        </w:rPr>
      </w:pPr>
      <w:r w:rsidRPr="009519E5">
        <w:rPr>
          <w:rFonts w:ascii="Times New Roman" w:eastAsia="Times New Roman" w:hAnsi="Times New Roman" w:cs="Times New Roman"/>
          <w:sz w:val="24"/>
          <w:szCs w:val="24"/>
          <w:lang w:eastAsia="en-CA"/>
        </w:rPr>
        <w:t xml:space="preserve">Otis, J. (2007). </w:t>
      </w:r>
      <w:r w:rsidRPr="009519E5">
        <w:rPr>
          <w:rFonts w:ascii="Times New Roman" w:eastAsia="Times New Roman" w:hAnsi="Times New Roman" w:cs="Times New Roman"/>
          <w:i/>
          <w:iCs/>
          <w:sz w:val="24"/>
          <w:szCs w:val="24"/>
          <w:lang w:eastAsia="en-CA"/>
        </w:rPr>
        <w:t>Managing chronic pain: A cognitive-behavioral therapy approach</w:t>
      </w:r>
      <w:r w:rsidRPr="009519E5">
        <w:rPr>
          <w:rFonts w:ascii="Times New Roman" w:eastAsia="Times New Roman" w:hAnsi="Times New Roman" w:cs="Times New Roman"/>
          <w:sz w:val="24"/>
          <w:szCs w:val="24"/>
          <w:lang w:eastAsia="en-CA"/>
        </w:rPr>
        <w:t>. Oxford university press.</w:t>
      </w:r>
    </w:p>
    <w:p w14:paraId="2A7B2E6A" w14:textId="60408E4B" w:rsidR="009519E5" w:rsidRPr="00540A0C" w:rsidRDefault="00540A0C" w:rsidP="00A61C82">
      <w:pPr>
        <w:spacing w:line="240" w:lineRule="auto"/>
        <w:ind w:left="720" w:hanging="720"/>
        <w:rPr>
          <w:rFonts w:ascii="Times New Roman" w:eastAsia="Times New Roman" w:hAnsi="Times New Roman" w:cs="Times New Roman"/>
          <w:sz w:val="24"/>
          <w:szCs w:val="24"/>
          <w:lang w:eastAsia="en-CA"/>
        </w:rPr>
      </w:pPr>
      <w:r w:rsidRPr="00540A0C">
        <w:rPr>
          <w:rFonts w:ascii="Times New Roman" w:eastAsia="Times New Roman" w:hAnsi="Times New Roman" w:cs="Times New Roman"/>
          <w:sz w:val="24"/>
          <w:szCs w:val="24"/>
          <w:lang w:eastAsia="en-CA"/>
        </w:rPr>
        <w:t xml:space="preserve">Turk, D. C., &amp; </w:t>
      </w:r>
      <w:proofErr w:type="spellStart"/>
      <w:r w:rsidRPr="00540A0C">
        <w:rPr>
          <w:rFonts w:ascii="Times New Roman" w:eastAsia="Times New Roman" w:hAnsi="Times New Roman" w:cs="Times New Roman"/>
          <w:sz w:val="24"/>
          <w:szCs w:val="24"/>
          <w:lang w:eastAsia="en-CA"/>
        </w:rPr>
        <w:t>Gatchel</w:t>
      </w:r>
      <w:proofErr w:type="spellEnd"/>
      <w:r w:rsidRPr="00540A0C">
        <w:rPr>
          <w:rFonts w:ascii="Times New Roman" w:eastAsia="Times New Roman" w:hAnsi="Times New Roman" w:cs="Times New Roman"/>
          <w:sz w:val="24"/>
          <w:szCs w:val="24"/>
          <w:lang w:eastAsia="en-CA"/>
        </w:rPr>
        <w:t xml:space="preserve">, R. J. (Eds.). (2018). </w:t>
      </w:r>
      <w:r w:rsidRPr="00540A0C">
        <w:rPr>
          <w:rFonts w:ascii="Times New Roman" w:eastAsia="Times New Roman" w:hAnsi="Times New Roman" w:cs="Times New Roman"/>
          <w:i/>
          <w:iCs/>
          <w:sz w:val="24"/>
          <w:szCs w:val="24"/>
          <w:lang w:eastAsia="en-CA"/>
        </w:rPr>
        <w:t>Psychological approaches to pain management: a practitioner's handbook</w:t>
      </w:r>
      <w:r w:rsidRPr="00540A0C">
        <w:rPr>
          <w:rFonts w:ascii="Times New Roman" w:eastAsia="Times New Roman" w:hAnsi="Times New Roman" w:cs="Times New Roman"/>
          <w:sz w:val="24"/>
          <w:szCs w:val="24"/>
          <w:lang w:eastAsia="en-CA"/>
        </w:rPr>
        <w:t>. Guilford publications.</w:t>
      </w:r>
    </w:p>
    <w:p w14:paraId="21B8A641" w14:textId="59498082" w:rsidR="00D32BFD" w:rsidRPr="009519E5" w:rsidRDefault="00540A0C" w:rsidP="009519E5">
      <w:pPr>
        <w:rPr>
          <w:rFonts w:ascii="Times New Roman" w:hAnsi="Times New Roman" w:cs="Times New Roman"/>
          <w:sz w:val="24"/>
          <w:szCs w:val="24"/>
        </w:rPr>
      </w:pPr>
      <w:r w:rsidRPr="009519E5">
        <w:rPr>
          <w:rFonts w:ascii="Times New Roman" w:hAnsi="Times New Roman" w:cs="Times New Roman"/>
          <w:b/>
          <w:sz w:val="24"/>
          <w:szCs w:val="24"/>
        </w:rPr>
        <w:t>References</w:t>
      </w:r>
      <w:r w:rsidRPr="009519E5">
        <w:rPr>
          <w:rFonts w:ascii="Times New Roman" w:hAnsi="Times New Roman" w:cs="Times New Roman"/>
          <w:sz w:val="24"/>
          <w:szCs w:val="24"/>
        </w:rPr>
        <w:t>:</w:t>
      </w:r>
    </w:p>
    <w:p w14:paraId="723A4926" w14:textId="77777777" w:rsidR="001250A2" w:rsidRPr="001250A2" w:rsidRDefault="001250A2" w:rsidP="001250A2">
      <w:pPr>
        <w:spacing w:after="0" w:line="240" w:lineRule="auto"/>
        <w:ind w:left="720" w:hanging="720"/>
        <w:rPr>
          <w:rFonts w:ascii="Times New Roman" w:eastAsia="Times New Roman" w:hAnsi="Times New Roman" w:cs="Times New Roman"/>
          <w:sz w:val="24"/>
          <w:szCs w:val="24"/>
          <w:lang w:eastAsia="en-CA"/>
        </w:rPr>
      </w:pPr>
      <w:r w:rsidRPr="001250A2">
        <w:rPr>
          <w:rFonts w:ascii="Times New Roman" w:eastAsia="Times New Roman" w:hAnsi="Times New Roman" w:cs="Times New Roman"/>
          <w:sz w:val="24"/>
          <w:szCs w:val="24"/>
          <w:lang w:eastAsia="en-CA"/>
        </w:rPr>
        <w:t xml:space="preserve">Alperstein, D., &amp; Sharpe, L. (2016). The efficacy of motivational interviewing in adults with chronic pain: a meta-analysis and systematic review. </w:t>
      </w:r>
      <w:r w:rsidRPr="001250A2">
        <w:rPr>
          <w:rFonts w:ascii="Times New Roman" w:eastAsia="Times New Roman" w:hAnsi="Times New Roman" w:cs="Times New Roman"/>
          <w:i/>
          <w:iCs/>
          <w:sz w:val="24"/>
          <w:szCs w:val="24"/>
          <w:lang w:eastAsia="en-CA"/>
        </w:rPr>
        <w:t>The Journal of Pain</w:t>
      </w:r>
      <w:r w:rsidRPr="001250A2">
        <w:rPr>
          <w:rFonts w:ascii="Times New Roman" w:eastAsia="Times New Roman" w:hAnsi="Times New Roman" w:cs="Times New Roman"/>
          <w:sz w:val="24"/>
          <w:szCs w:val="24"/>
          <w:lang w:eastAsia="en-CA"/>
        </w:rPr>
        <w:t xml:space="preserve">, </w:t>
      </w:r>
      <w:r w:rsidRPr="001250A2">
        <w:rPr>
          <w:rFonts w:ascii="Times New Roman" w:eastAsia="Times New Roman" w:hAnsi="Times New Roman" w:cs="Times New Roman"/>
          <w:i/>
          <w:iCs/>
          <w:sz w:val="24"/>
          <w:szCs w:val="24"/>
          <w:lang w:eastAsia="en-CA"/>
        </w:rPr>
        <w:t>17</w:t>
      </w:r>
      <w:r w:rsidRPr="001250A2">
        <w:rPr>
          <w:rFonts w:ascii="Times New Roman" w:eastAsia="Times New Roman" w:hAnsi="Times New Roman" w:cs="Times New Roman"/>
          <w:sz w:val="24"/>
          <w:szCs w:val="24"/>
          <w:lang w:eastAsia="en-CA"/>
        </w:rPr>
        <w:t>(4), 393-403.</w:t>
      </w:r>
    </w:p>
    <w:p w14:paraId="518377E1" w14:textId="77777777"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r w:rsidRPr="00540A0C">
        <w:rPr>
          <w:rFonts w:ascii="Times New Roman" w:eastAsia="Times New Roman" w:hAnsi="Times New Roman" w:cs="Times New Roman"/>
          <w:sz w:val="24"/>
          <w:szCs w:val="24"/>
          <w:lang w:eastAsia="en-CA"/>
        </w:rPr>
        <w:t xml:space="preserve">Ambrose, K. R., &amp; Golightly, Y. M. (2015). Physical exercise as non-pharmacological treatment of chronic pain: why and when. </w:t>
      </w:r>
      <w:r w:rsidRPr="00540A0C">
        <w:rPr>
          <w:rFonts w:ascii="Times New Roman" w:eastAsia="Times New Roman" w:hAnsi="Times New Roman" w:cs="Times New Roman"/>
          <w:i/>
          <w:iCs/>
          <w:sz w:val="24"/>
          <w:szCs w:val="24"/>
          <w:lang w:eastAsia="en-CA"/>
        </w:rPr>
        <w:t>Best Practice &amp; Research Clinical Rheumatology</w:t>
      </w:r>
      <w:r w:rsidRPr="00540A0C">
        <w:rPr>
          <w:rFonts w:ascii="Times New Roman" w:eastAsia="Times New Roman" w:hAnsi="Times New Roman" w:cs="Times New Roman"/>
          <w:sz w:val="24"/>
          <w:szCs w:val="24"/>
          <w:lang w:eastAsia="en-CA"/>
        </w:rPr>
        <w:t xml:space="preserve">, </w:t>
      </w:r>
      <w:r w:rsidRPr="00540A0C">
        <w:rPr>
          <w:rFonts w:ascii="Times New Roman" w:eastAsia="Times New Roman" w:hAnsi="Times New Roman" w:cs="Times New Roman"/>
          <w:i/>
          <w:iCs/>
          <w:sz w:val="24"/>
          <w:szCs w:val="24"/>
          <w:lang w:eastAsia="en-CA"/>
        </w:rPr>
        <w:t>29</w:t>
      </w:r>
      <w:r w:rsidRPr="00540A0C">
        <w:rPr>
          <w:rFonts w:ascii="Times New Roman" w:eastAsia="Times New Roman" w:hAnsi="Times New Roman" w:cs="Times New Roman"/>
          <w:sz w:val="24"/>
          <w:szCs w:val="24"/>
          <w:lang w:eastAsia="en-CA"/>
        </w:rPr>
        <w:t>(1), 120-130.</w:t>
      </w:r>
    </w:p>
    <w:p w14:paraId="15423B66" w14:textId="77777777"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proofErr w:type="spellStart"/>
      <w:r w:rsidRPr="00540A0C">
        <w:rPr>
          <w:rFonts w:ascii="Times New Roman" w:eastAsia="Times New Roman" w:hAnsi="Times New Roman" w:cs="Times New Roman"/>
          <w:sz w:val="24"/>
          <w:szCs w:val="24"/>
          <w:lang w:eastAsia="en-CA"/>
        </w:rPr>
        <w:t>Andreae</w:t>
      </w:r>
      <w:proofErr w:type="spellEnd"/>
      <w:r w:rsidRPr="00540A0C">
        <w:rPr>
          <w:rFonts w:ascii="Times New Roman" w:eastAsia="Times New Roman" w:hAnsi="Times New Roman" w:cs="Times New Roman"/>
          <w:sz w:val="24"/>
          <w:szCs w:val="24"/>
          <w:lang w:eastAsia="en-CA"/>
        </w:rPr>
        <w:t xml:space="preserve">, M. H., Carter, G. M., </w:t>
      </w:r>
      <w:proofErr w:type="spellStart"/>
      <w:r w:rsidRPr="00540A0C">
        <w:rPr>
          <w:rFonts w:ascii="Times New Roman" w:eastAsia="Times New Roman" w:hAnsi="Times New Roman" w:cs="Times New Roman"/>
          <w:sz w:val="24"/>
          <w:szCs w:val="24"/>
          <w:lang w:eastAsia="en-CA"/>
        </w:rPr>
        <w:t>Shaparin</w:t>
      </w:r>
      <w:proofErr w:type="spellEnd"/>
      <w:r w:rsidRPr="00540A0C">
        <w:rPr>
          <w:rFonts w:ascii="Times New Roman" w:eastAsia="Times New Roman" w:hAnsi="Times New Roman" w:cs="Times New Roman"/>
          <w:sz w:val="24"/>
          <w:szCs w:val="24"/>
          <w:lang w:eastAsia="en-CA"/>
        </w:rPr>
        <w:t xml:space="preserve">, N., </w:t>
      </w:r>
      <w:proofErr w:type="spellStart"/>
      <w:r w:rsidRPr="00540A0C">
        <w:rPr>
          <w:rFonts w:ascii="Times New Roman" w:eastAsia="Times New Roman" w:hAnsi="Times New Roman" w:cs="Times New Roman"/>
          <w:sz w:val="24"/>
          <w:szCs w:val="24"/>
          <w:lang w:eastAsia="en-CA"/>
        </w:rPr>
        <w:t>Suslov</w:t>
      </w:r>
      <w:proofErr w:type="spellEnd"/>
      <w:r w:rsidRPr="00540A0C">
        <w:rPr>
          <w:rFonts w:ascii="Times New Roman" w:eastAsia="Times New Roman" w:hAnsi="Times New Roman" w:cs="Times New Roman"/>
          <w:sz w:val="24"/>
          <w:szCs w:val="24"/>
          <w:lang w:eastAsia="en-CA"/>
        </w:rPr>
        <w:t xml:space="preserve">, K., Ellis, R. J., Ware, M. A., ... &amp; Johnson, M. (2015). Inhaled cannabis for chronic neuropathic pain: a meta-analysis of individual patient data. </w:t>
      </w:r>
      <w:r w:rsidRPr="00540A0C">
        <w:rPr>
          <w:rFonts w:ascii="Times New Roman" w:eastAsia="Times New Roman" w:hAnsi="Times New Roman" w:cs="Times New Roman"/>
          <w:i/>
          <w:iCs/>
          <w:sz w:val="24"/>
          <w:szCs w:val="24"/>
          <w:lang w:eastAsia="en-CA"/>
        </w:rPr>
        <w:t>The Journal of Pain</w:t>
      </w:r>
      <w:r w:rsidRPr="00540A0C">
        <w:rPr>
          <w:rFonts w:ascii="Times New Roman" w:eastAsia="Times New Roman" w:hAnsi="Times New Roman" w:cs="Times New Roman"/>
          <w:sz w:val="24"/>
          <w:szCs w:val="24"/>
          <w:lang w:eastAsia="en-CA"/>
        </w:rPr>
        <w:t xml:space="preserve">, </w:t>
      </w:r>
      <w:r w:rsidRPr="00540A0C">
        <w:rPr>
          <w:rFonts w:ascii="Times New Roman" w:eastAsia="Times New Roman" w:hAnsi="Times New Roman" w:cs="Times New Roman"/>
          <w:i/>
          <w:iCs/>
          <w:sz w:val="24"/>
          <w:szCs w:val="24"/>
          <w:lang w:eastAsia="en-CA"/>
        </w:rPr>
        <w:t>16</w:t>
      </w:r>
      <w:r w:rsidRPr="00540A0C">
        <w:rPr>
          <w:rFonts w:ascii="Times New Roman" w:eastAsia="Times New Roman" w:hAnsi="Times New Roman" w:cs="Times New Roman"/>
          <w:sz w:val="24"/>
          <w:szCs w:val="24"/>
          <w:lang w:eastAsia="en-CA"/>
        </w:rPr>
        <w:t>(12), 1221-1232.</w:t>
      </w:r>
    </w:p>
    <w:p w14:paraId="5A9BAD6A" w14:textId="77777777" w:rsidR="008B4D4F" w:rsidRPr="009519E5" w:rsidRDefault="008B4D4F" w:rsidP="009519E5">
      <w:pPr>
        <w:spacing w:after="0"/>
        <w:ind w:left="709" w:hanging="720"/>
        <w:rPr>
          <w:rFonts w:ascii="Times New Roman" w:hAnsi="Times New Roman" w:cs="Times New Roman"/>
          <w:sz w:val="24"/>
          <w:szCs w:val="24"/>
        </w:rPr>
      </w:pPr>
      <w:r w:rsidRPr="009519E5">
        <w:rPr>
          <w:rFonts w:ascii="Times New Roman" w:hAnsi="Times New Roman" w:cs="Times New Roman"/>
          <w:sz w:val="24"/>
          <w:szCs w:val="24"/>
        </w:rPr>
        <w:t xml:space="preserve">Dworkin, R. H., Turk, D. C., Farrar, J. T., </w:t>
      </w:r>
      <w:proofErr w:type="spellStart"/>
      <w:r w:rsidRPr="009519E5">
        <w:rPr>
          <w:rFonts w:ascii="Times New Roman" w:hAnsi="Times New Roman" w:cs="Times New Roman"/>
          <w:sz w:val="24"/>
          <w:szCs w:val="24"/>
        </w:rPr>
        <w:t>Haythornthwaite</w:t>
      </w:r>
      <w:proofErr w:type="spellEnd"/>
      <w:r w:rsidRPr="009519E5">
        <w:rPr>
          <w:rFonts w:ascii="Times New Roman" w:hAnsi="Times New Roman" w:cs="Times New Roman"/>
          <w:sz w:val="24"/>
          <w:szCs w:val="24"/>
        </w:rPr>
        <w:t xml:space="preserve">, J. A., Jensen, M. P., Katz, N. P., ... &amp; </w:t>
      </w:r>
      <w:proofErr w:type="spellStart"/>
      <w:r w:rsidRPr="009519E5">
        <w:rPr>
          <w:rFonts w:ascii="Times New Roman" w:hAnsi="Times New Roman" w:cs="Times New Roman"/>
          <w:sz w:val="24"/>
          <w:szCs w:val="24"/>
        </w:rPr>
        <w:t>Carr</w:t>
      </w:r>
      <w:proofErr w:type="spellEnd"/>
      <w:r w:rsidRPr="009519E5">
        <w:rPr>
          <w:rFonts w:ascii="Times New Roman" w:hAnsi="Times New Roman" w:cs="Times New Roman"/>
          <w:sz w:val="24"/>
          <w:szCs w:val="24"/>
        </w:rPr>
        <w:t xml:space="preserve">, D. B. (2005). Core outcome measures for chronic pain clinical trials: IMMPACT recommendations. </w:t>
      </w:r>
      <w:r w:rsidRPr="009519E5">
        <w:rPr>
          <w:rFonts w:ascii="Times New Roman" w:hAnsi="Times New Roman" w:cs="Times New Roman"/>
          <w:i/>
          <w:iCs/>
          <w:sz w:val="24"/>
          <w:szCs w:val="24"/>
        </w:rPr>
        <w:t>Pain</w:t>
      </w:r>
      <w:r w:rsidRPr="009519E5">
        <w:rPr>
          <w:rFonts w:ascii="Times New Roman" w:hAnsi="Times New Roman" w:cs="Times New Roman"/>
          <w:sz w:val="24"/>
          <w:szCs w:val="24"/>
        </w:rPr>
        <w:t xml:space="preserve">, </w:t>
      </w:r>
      <w:r w:rsidRPr="009519E5">
        <w:rPr>
          <w:rFonts w:ascii="Times New Roman" w:hAnsi="Times New Roman" w:cs="Times New Roman"/>
          <w:i/>
          <w:iCs/>
          <w:sz w:val="24"/>
          <w:szCs w:val="24"/>
        </w:rPr>
        <w:t>113</w:t>
      </w:r>
      <w:r w:rsidRPr="009519E5">
        <w:rPr>
          <w:rFonts w:ascii="Times New Roman" w:hAnsi="Times New Roman" w:cs="Times New Roman"/>
          <w:sz w:val="24"/>
          <w:szCs w:val="24"/>
        </w:rPr>
        <w:t>(1), 9-19.</w:t>
      </w:r>
    </w:p>
    <w:p w14:paraId="2666E885" w14:textId="77777777" w:rsidR="009519E5" w:rsidRPr="009519E5" w:rsidRDefault="008B4D4F" w:rsidP="009519E5">
      <w:pPr>
        <w:spacing w:after="0"/>
        <w:ind w:left="709" w:hanging="720"/>
        <w:rPr>
          <w:rFonts w:ascii="Times New Roman" w:hAnsi="Times New Roman" w:cs="Times New Roman"/>
          <w:sz w:val="24"/>
          <w:szCs w:val="24"/>
        </w:rPr>
      </w:pPr>
      <w:r w:rsidRPr="009519E5">
        <w:rPr>
          <w:rFonts w:ascii="Times New Roman" w:eastAsia="Times New Roman" w:hAnsi="Times New Roman" w:cs="Times New Roman"/>
          <w:sz w:val="24"/>
          <w:szCs w:val="24"/>
          <w:lang w:eastAsia="en-CA"/>
        </w:rPr>
        <w:t xml:space="preserve"> </w:t>
      </w:r>
      <w:r w:rsidR="009519E5" w:rsidRPr="009519E5">
        <w:rPr>
          <w:rFonts w:ascii="Times New Roman" w:hAnsi="Times New Roman" w:cs="Times New Roman"/>
          <w:sz w:val="24"/>
          <w:szCs w:val="24"/>
        </w:rPr>
        <w:t xml:space="preserve">Dworkin, R. H., Turk, D. C., </w:t>
      </w:r>
      <w:proofErr w:type="spellStart"/>
      <w:r w:rsidR="009519E5" w:rsidRPr="009519E5">
        <w:rPr>
          <w:rFonts w:ascii="Times New Roman" w:hAnsi="Times New Roman" w:cs="Times New Roman"/>
          <w:sz w:val="24"/>
          <w:szCs w:val="24"/>
        </w:rPr>
        <w:t>Wyrwich</w:t>
      </w:r>
      <w:proofErr w:type="spellEnd"/>
      <w:r w:rsidR="009519E5" w:rsidRPr="009519E5">
        <w:rPr>
          <w:rFonts w:ascii="Times New Roman" w:hAnsi="Times New Roman" w:cs="Times New Roman"/>
          <w:sz w:val="24"/>
          <w:szCs w:val="24"/>
        </w:rPr>
        <w:t xml:space="preserve">, K. W., Beaton, D., </w:t>
      </w:r>
      <w:proofErr w:type="spellStart"/>
      <w:r w:rsidR="009519E5" w:rsidRPr="009519E5">
        <w:rPr>
          <w:rFonts w:ascii="Times New Roman" w:hAnsi="Times New Roman" w:cs="Times New Roman"/>
          <w:sz w:val="24"/>
          <w:szCs w:val="24"/>
        </w:rPr>
        <w:t>Cleeland</w:t>
      </w:r>
      <w:proofErr w:type="spellEnd"/>
      <w:r w:rsidR="009519E5" w:rsidRPr="009519E5">
        <w:rPr>
          <w:rFonts w:ascii="Times New Roman" w:hAnsi="Times New Roman" w:cs="Times New Roman"/>
          <w:sz w:val="24"/>
          <w:szCs w:val="24"/>
        </w:rPr>
        <w:t xml:space="preserve">, C. S., Farrar, J. T., ... &amp; Brandenburg, N. (2008). Interpreting the clinical importance of treatment outcomes in chronic pain clinical trials: IMMPACT recommendations. </w:t>
      </w:r>
      <w:r w:rsidR="009519E5" w:rsidRPr="009519E5">
        <w:rPr>
          <w:rFonts w:ascii="Times New Roman" w:hAnsi="Times New Roman" w:cs="Times New Roman"/>
          <w:i/>
          <w:iCs/>
          <w:sz w:val="24"/>
          <w:szCs w:val="24"/>
        </w:rPr>
        <w:t>The Journal of Pain</w:t>
      </w:r>
      <w:r w:rsidR="009519E5" w:rsidRPr="009519E5">
        <w:rPr>
          <w:rFonts w:ascii="Times New Roman" w:hAnsi="Times New Roman" w:cs="Times New Roman"/>
          <w:sz w:val="24"/>
          <w:szCs w:val="24"/>
        </w:rPr>
        <w:t xml:space="preserve">, </w:t>
      </w:r>
      <w:r w:rsidR="009519E5" w:rsidRPr="009519E5">
        <w:rPr>
          <w:rFonts w:ascii="Times New Roman" w:hAnsi="Times New Roman" w:cs="Times New Roman"/>
          <w:i/>
          <w:iCs/>
          <w:sz w:val="24"/>
          <w:szCs w:val="24"/>
        </w:rPr>
        <w:t>9</w:t>
      </w:r>
      <w:r w:rsidR="009519E5" w:rsidRPr="009519E5">
        <w:rPr>
          <w:rFonts w:ascii="Times New Roman" w:hAnsi="Times New Roman" w:cs="Times New Roman"/>
          <w:sz w:val="24"/>
          <w:szCs w:val="24"/>
        </w:rPr>
        <w:t>(2), 105-121.</w:t>
      </w:r>
    </w:p>
    <w:p w14:paraId="08B352A5" w14:textId="54F300B8" w:rsidR="00540A0C" w:rsidRPr="00540A0C" w:rsidRDefault="009519E5" w:rsidP="009519E5">
      <w:pPr>
        <w:spacing w:after="0" w:line="240" w:lineRule="auto"/>
        <w:ind w:left="720" w:hanging="720"/>
        <w:rPr>
          <w:rFonts w:ascii="Times New Roman" w:eastAsia="Times New Roman" w:hAnsi="Times New Roman" w:cs="Times New Roman"/>
          <w:sz w:val="24"/>
          <w:szCs w:val="24"/>
          <w:lang w:eastAsia="en-CA"/>
        </w:rPr>
      </w:pPr>
      <w:r w:rsidRPr="009519E5">
        <w:rPr>
          <w:rFonts w:ascii="Times New Roman" w:eastAsia="Times New Roman" w:hAnsi="Times New Roman" w:cs="Times New Roman"/>
          <w:sz w:val="24"/>
          <w:szCs w:val="24"/>
          <w:lang w:eastAsia="en-CA"/>
        </w:rPr>
        <w:t xml:space="preserve"> </w:t>
      </w:r>
      <w:r w:rsidR="00540A0C" w:rsidRPr="00540A0C">
        <w:rPr>
          <w:rFonts w:ascii="Times New Roman" w:eastAsia="Times New Roman" w:hAnsi="Times New Roman" w:cs="Times New Roman"/>
          <w:sz w:val="24"/>
          <w:szCs w:val="24"/>
          <w:lang w:eastAsia="en-CA"/>
        </w:rPr>
        <w:t xml:space="preserve">Eccleston, C., Fisher, E., Craig, L., Duggan, G. B., Rosser, B. A., &amp; Keogh, E. (2012). Psychological therapies (Internet-delivered) for the management of chronic pain in adults. </w:t>
      </w:r>
      <w:r w:rsidR="00540A0C" w:rsidRPr="00540A0C">
        <w:rPr>
          <w:rFonts w:ascii="Times New Roman" w:eastAsia="Times New Roman" w:hAnsi="Times New Roman" w:cs="Times New Roman"/>
          <w:i/>
          <w:iCs/>
          <w:sz w:val="24"/>
          <w:szCs w:val="24"/>
          <w:lang w:eastAsia="en-CA"/>
        </w:rPr>
        <w:t>Cochrane Database of Systematic Reviews</w:t>
      </w:r>
      <w:r w:rsidR="00540A0C" w:rsidRPr="00540A0C">
        <w:rPr>
          <w:rFonts w:ascii="Times New Roman" w:eastAsia="Times New Roman" w:hAnsi="Times New Roman" w:cs="Times New Roman"/>
          <w:sz w:val="24"/>
          <w:szCs w:val="24"/>
          <w:lang w:eastAsia="en-CA"/>
        </w:rPr>
        <w:t xml:space="preserve">, </w:t>
      </w:r>
      <w:r w:rsidR="00540A0C" w:rsidRPr="00540A0C">
        <w:rPr>
          <w:rFonts w:ascii="Times New Roman" w:eastAsia="Times New Roman" w:hAnsi="Times New Roman" w:cs="Times New Roman"/>
          <w:i/>
          <w:iCs/>
          <w:sz w:val="24"/>
          <w:szCs w:val="24"/>
          <w:lang w:eastAsia="en-CA"/>
        </w:rPr>
        <w:t>2</w:t>
      </w:r>
      <w:r w:rsidR="00540A0C" w:rsidRPr="00540A0C">
        <w:rPr>
          <w:rFonts w:ascii="Times New Roman" w:eastAsia="Times New Roman" w:hAnsi="Times New Roman" w:cs="Times New Roman"/>
          <w:sz w:val="24"/>
          <w:szCs w:val="24"/>
          <w:lang w:eastAsia="en-CA"/>
        </w:rPr>
        <w:t>.</w:t>
      </w:r>
    </w:p>
    <w:p w14:paraId="47920591" w14:textId="77777777" w:rsidR="006A2688" w:rsidRPr="006A2688" w:rsidRDefault="006A2688" w:rsidP="006A2688">
      <w:pPr>
        <w:spacing w:after="0" w:line="240" w:lineRule="auto"/>
        <w:ind w:left="720" w:hanging="720"/>
        <w:rPr>
          <w:rFonts w:ascii="Times New Roman" w:eastAsia="Times New Roman" w:hAnsi="Times New Roman" w:cs="Times New Roman"/>
          <w:sz w:val="24"/>
          <w:szCs w:val="24"/>
          <w:lang w:eastAsia="en-CA"/>
        </w:rPr>
      </w:pPr>
      <w:proofErr w:type="spellStart"/>
      <w:r w:rsidRPr="006A2688">
        <w:rPr>
          <w:rFonts w:ascii="Times New Roman" w:eastAsia="Times New Roman" w:hAnsi="Times New Roman" w:cs="Times New Roman"/>
          <w:sz w:val="24"/>
          <w:szCs w:val="24"/>
          <w:lang w:eastAsia="en-CA"/>
        </w:rPr>
        <w:t>Finnerup</w:t>
      </w:r>
      <w:proofErr w:type="spellEnd"/>
      <w:r w:rsidRPr="006A2688">
        <w:rPr>
          <w:rFonts w:ascii="Times New Roman" w:eastAsia="Times New Roman" w:hAnsi="Times New Roman" w:cs="Times New Roman"/>
          <w:sz w:val="24"/>
          <w:szCs w:val="24"/>
          <w:lang w:eastAsia="en-CA"/>
        </w:rPr>
        <w:t xml:space="preserve">, N. B., Attal, N., </w:t>
      </w:r>
      <w:proofErr w:type="spellStart"/>
      <w:r w:rsidRPr="006A2688">
        <w:rPr>
          <w:rFonts w:ascii="Times New Roman" w:eastAsia="Times New Roman" w:hAnsi="Times New Roman" w:cs="Times New Roman"/>
          <w:sz w:val="24"/>
          <w:szCs w:val="24"/>
          <w:lang w:eastAsia="en-CA"/>
        </w:rPr>
        <w:t>Haroutounian</w:t>
      </w:r>
      <w:proofErr w:type="spellEnd"/>
      <w:r w:rsidRPr="006A2688">
        <w:rPr>
          <w:rFonts w:ascii="Times New Roman" w:eastAsia="Times New Roman" w:hAnsi="Times New Roman" w:cs="Times New Roman"/>
          <w:sz w:val="24"/>
          <w:szCs w:val="24"/>
          <w:lang w:eastAsia="en-CA"/>
        </w:rPr>
        <w:t xml:space="preserve">, S., </w:t>
      </w:r>
      <w:proofErr w:type="spellStart"/>
      <w:r w:rsidRPr="006A2688">
        <w:rPr>
          <w:rFonts w:ascii="Times New Roman" w:eastAsia="Times New Roman" w:hAnsi="Times New Roman" w:cs="Times New Roman"/>
          <w:sz w:val="24"/>
          <w:szCs w:val="24"/>
          <w:lang w:eastAsia="en-CA"/>
        </w:rPr>
        <w:t>McNicol</w:t>
      </w:r>
      <w:proofErr w:type="spellEnd"/>
      <w:r w:rsidRPr="006A2688">
        <w:rPr>
          <w:rFonts w:ascii="Times New Roman" w:eastAsia="Times New Roman" w:hAnsi="Times New Roman" w:cs="Times New Roman"/>
          <w:sz w:val="24"/>
          <w:szCs w:val="24"/>
          <w:lang w:eastAsia="en-CA"/>
        </w:rPr>
        <w:t xml:space="preserve">, E., Baron, R., Dworkin, R. H., ... &amp; </w:t>
      </w:r>
      <w:proofErr w:type="spellStart"/>
      <w:r w:rsidRPr="006A2688">
        <w:rPr>
          <w:rFonts w:ascii="Times New Roman" w:eastAsia="Times New Roman" w:hAnsi="Times New Roman" w:cs="Times New Roman"/>
          <w:sz w:val="24"/>
          <w:szCs w:val="24"/>
          <w:lang w:eastAsia="en-CA"/>
        </w:rPr>
        <w:t>Kamerman</w:t>
      </w:r>
      <w:proofErr w:type="spellEnd"/>
      <w:r w:rsidRPr="006A2688">
        <w:rPr>
          <w:rFonts w:ascii="Times New Roman" w:eastAsia="Times New Roman" w:hAnsi="Times New Roman" w:cs="Times New Roman"/>
          <w:sz w:val="24"/>
          <w:szCs w:val="24"/>
          <w:lang w:eastAsia="en-CA"/>
        </w:rPr>
        <w:t xml:space="preserve">, P. R. (2015). Pharmacotherapy for neuropathic pain in adults: a systematic review and meta-analysis. </w:t>
      </w:r>
      <w:r w:rsidRPr="006A2688">
        <w:rPr>
          <w:rFonts w:ascii="Times New Roman" w:eastAsia="Times New Roman" w:hAnsi="Times New Roman" w:cs="Times New Roman"/>
          <w:i/>
          <w:iCs/>
          <w:sz w:val="24"/>
          <w:szCs w:val="24"/>
          <w:lang w:eastAsia="en-CA"/>
        </w:rPr>
        <w:t>The Lancet Neurology</w:t>
      </w:r>
      <w:r w:rsidRPr="006A2688">
        <w:rPr>
          <w:rFonts w:ascii="Times New Roman" w:eastAsia="Times New Roman" w:hAnsi="Times New Roman" w:cs="Times New Roman"/>
          <w:sz w:val="24"/>
          <w:szCs w:val="24"/>
          <w:lang w:eastAsia="en-CA"/>
        </w:rPr>
        <w:t xml:space="preserve">, </w:t>
      </w:r>
      <w:r w:rsidRPr="006A2688">
        <w:rPr>
          <w:rFonts w:ascii="Times New Roman" w:eastAsia="Times New Roman" w:hAnsi="Times New Roman" w:cs="Times New Roman"/>
          <w:i/>
          <w:iCs/>
          <w:sz w:val="24"/>
          <w:szCs w:val="24"/>
          <w:lang w:eastAsia="en-CA"/>
        </w:rPr>
        <w:t>14</w:t>
      </w:r>
      <w:r w:rsidRPr="006A2688">
        <w:rPr>
          <w:rFonts w:ascii="Times New Roman" w:eastAsia="Times New Roman" w:hAnsi="Times New Roman" w:cs="Times New Roman"/>
          <w:sz w:val="24"/>
          <w:szCs w:val="24"/>
          <w:lang w:eastAsia="en-CA"/>
        </w:rPr>
        <w:t>(2), 162-173.</w:t>
      </w:r>
    </w:p>
    <w:p w14:paraId="67609318" w14:textId="77777777"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proofErr w:type="spellStart"/>
      <w:r w:rsidRPr="00540A0C">
        <w:rPr>
          <w:rFonts w:ascii="Times New Roman" w:eastAsia="Times New Roman" w:hAnsi="Times New Roman" w:cs="Times New Roman"/>
          <w:sz w:val="24"/>
          <w:szCs w:val="24"/>
          <w:lang w:eastAsia="en-CA"/>
        </w:rPr>
        <w:t>Geneen</w:t>
      </w:r>
      <w:proofErr w:type="spellEnd"/>
      <w:r w:rsidRPr="00540A0C">
        <w:rPr>
          <w:rFonts w:ascii="Times New Roman" w:eastAsia="Times New Roman" w:hAnsi="Times New Roman" w:cs="Times New Roman"/>
          <w:sz w:val="24"/>
          <w:szCs w:val="24"/>
          <w:lang w:eastAsia="en-CA"/>
        </w:rPr>
        <w:t xml:space="preserve">, L. J., Moore, A. R., Clarke, C., Martin, D., Colvin, L. A., &amp; Smith, B. H. (2017). Physical activity and exercise for chronic pain in adults: an overview of Cochrane Reviews. </w:t>
      </w:r>
      <w:r w:rsidRPr="00540A0C">
        <w:rPr>
          <w:rFonts w:ascii="Times New Roman" w:eastAsia="Times New Roman" w:hAnsi="Times New Roman" w:cs="Times New Roman"/>
          <w:i/>
          <w:iCs/>
          <w:sz w:val="24"/>
          <w:szCs w:val="24"/>
          <w:lang w:eastAsia="en-CA"/>
        </w:rPr>
        <w:t>The Cochrane database of systematic reviews</w:t>
      </w:r>
      <w:r w:rsidRPr="00540A0C">
        <w:rPr>
          <w:rFonts w:ascii="Times New Roman" w:eastAsia="Times New Roman" w:hAnsi="Times New Roman" w:cs="Times New Roman"/>
          <w:sz w:val="24"/>
          <w:szCs w:val="24"/>
          <w:lang w:eastAsia="en-CA"/>
        </w:rPr>
        <w:t>.</w:t>
      </w:r>
    </w:p>
    <w:p w14:paraId="67A8D4EA" w14:textId="77777777"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r w:rsidRPr="00540A0C">
        <w:rPr>
          <w:rFonts w:ascii="Times New Roman" w:eastAsia="Times New Roman" w:hAnsi="Times New Roman" w:cs="Times New Roman"/>
          <w:sz w:val="24"/>
          <w:szCs w:val="24"/>
          <w:lang w:eastAsia="en-CA"/>
        </w:rPr>
        <w:t xml:space="preserve">Hilton, L., Hempel, S., Ewing, B. A., </w:t>
      </w:r>
      <w:proofErr w:type="spellStart"/>
      <w:r w:rsidRPr="00540A0C">
        <w:rPr>
          <w:rFonts w:ascii="Times New Roman" w:eastAsia="Times New Roman" w:hAnsi="Times New Roman" w:cs="Times New Roman"/>
          <w:sz w:val="24"/>
          <w:szCs w:val="24"/>
          <w:lang w:eastAsia="en-CA"/>
        </w:rPr>
        <w:t>Apaydin</w:t>
      </w:r>
      <w:proofErr w:type="spellEnd"/>
      <w:r w:rsidRPr="00540A0C">
        <w:rPr>
          <w:rFonts w:ascii="Times New Roman" w:eastAsia="Times New Roman" w:hAnsi="Times New Roman" w:cs="Times New Roman"/>
          <w:sz w:val="24"/>
          <w:szCs w:val="24"/>
          <w:lang w:eastAsia="en-CA"/>
        </w:rPr>
        <w:t xml:space="preserve">, E., Xenakis, L., Newberry, S., ... &amp; </w:t>
      </w:r>
      <w:proofErr w:type="spellStart"/>
      <w:r w:rsidRPr="00540A0C">
        <w:rPr>
          <w:rFonts w:ascii="Times New Roman" w:eastAsia="Times New Roman" w:hAnsi="Times New Roman" w:cs="Times New Roman"/>
          <w:sz w:val="24"/>
          <w:szCs w:val="24"/>
          <w:lang w:eastAsia="en-CA"/>
        </w:rPr>
        <w:t>Maglione</w:t>
      </w:r>
      <w:proofErr w:type="spellEnd"/>
      <w:r w:rsidRPr="00540A0C">
        <w:rPr>
          <w:rFonts w:ascii="Times New Roman" w:eastAsia="Times New Roman" w:hAnsi="Times New Roman" w:cs="Times New Roman"/>
          <w:sz w:val="24"/>
          <w:szCs w:val="24"/>
          <w:lang w:eastAsia="en-CA"/>
        </w:rPr>
        <w:t xml:space="preserve">, M. A. (2016). Mindfulness meditation for chronic pain: systematic review and meta-analysis. </w:t>
      </w:r>
      <w:r w:rsidRPr="00540A0C">
        <w:rPr>
          <w:rFonts w:ascii="Times New Roman" w:eastAsia="Times New Roman" w:hAnsi="Times New Roman" w:cs="Times New Roman"/>
          <w:i/>
          <w:iCs/>
          <w:sz w:val="24"/>
          <w:szCs w:val="24"/>
          <w:lang w:eastAsia="en-CA"/>
        </w:rPr>
        <w:t>Annals of Behavioral Medicine</w:t>
      </w:r>
      <w:r w:rsidRPr="00540A0C">
        <w:rPr>
          <w:rFonts w:ascii="Times New Roman" w:eastAsia="Times New Roman" w:hAnsi="Times New Roman" w:cs="Times New Roman"/>
          <w:sz w:val="24"/>
          <w:szCs w:val="24"/>
          <w:lang w:eastAsia="en-CA"/>
        </w:rPr>
        <w:t xml:space="preserve">, </w:t>
      </w:r>
      <w:r w:rsidRPr="00540A0C">
        <w:rPr>
          <w:rFonts w:ascii="Times New Roman" w:eastAsia="Times New Roman" w:hAnsi="Times New Roman" w:cs="Times New Roman"/>
          <w:i/>
          <w:iCs/>
          <w:sz w:val="24"/>
          <w:szCs w:val="24"/>
          <w:lang w:eastAsia="en-CA"/>
        </w:rPr>
        <w:t>51</w:t>
      </w:r>
      <w:r w:rsidRPr="00540A0C">
        <w:rPr>
          <w:rFonts w:ascii="Times New Roman" w:eastAsia="Times New Roman" w:hAnsi="Times New Roman" w:cs="Times New Roman"/>
          <w:sz w:val="24"/>
          <w:szCs w:val="24"/>
          <w:lang w:eastAsia="en-CA"/>
        </w:rPr>
        <w:t>(2), 199-213.</w:t>
      </w:r>
    </w:p>
    <w:p w14:paraId="50CB2B0F" w14:textId="77777777"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proofErr w:type="spellStart"/>
      <w:r w:rsidRPr="00540A0C">
        <w:rPr>
          <w:rFonts w:ascii="Times New Roman" w:eastAsia="Times New Roman" w:hAnsi="Times New Roman" w:cs="Times New Roman"/>
          <w:sz w:val="24"/>
          <w:szCs w:val="24"/>
          <w:lang w:eastAsia="en-CA"/>
        </w:rPr>
        <w:t>Liegl</w:t>
      </w:r>
      <w:proofErr w:type="spellEnd"/>
      <w:r w:rsidRPr="00540A0C">
        <w:rPr>
          <w:rFonts w:ascii="Times New Roman" w:eastAsia="Times New Roman" w:hAnsi="Times New Roman" w:cs="Times New Roman"/>
          <w:sz w:val="24"/>
          <w:szCs w:val="24"/>
          <w:lang w:eastAsia="en-CA"/>
        </w:rPr>
        <w:t xml:space="preserve">, G., </w:t>
      </w:r>
      <w:proofErr w:type="spellStart"/>
      <w:r w:rsidRPr="00540A0C">
        <w:rPr>
          <w:rFonts w:ascii="Times New Roman" w:eastAsia="Times New Roman" w:hAnsi="Times New Roman" w:cs="Times New Roman"/>
          <w:sz w:val="24"/>
          <w:szCs w:val="24"/>
          <w:lang w:eastAsia="en-CA"/>
        </w:rPr>
        <w:t>Boeckle</w:t>
      </w:r>
      <w:proofErr w:type="spellEnd"/>
      <w:r w:rsidRPr="00540A0C">
        <w:rPr>
          <w:rFonts w:ascii="Times New Roman" w:eastAsia="Times New Roman" w:hAnsi="Times New Roman" w:cs="Times New Roman"/>
          <w:sz w:val="24"/>
          <w:szCs w:val="24"/>
          <w:lang w:eastAsia="en-CA"/>
        </w:rPr>
        <w:t xml:space="preserve">, M., Leitner, A., &amp; </w:t>
      </w:r>
      <w:proofErr w:type="spellStart"/>
      <w:r w:rsidRPr="00540A0C">
        <w:rPr>
          <w:rFonts w:ascii="Times New Roman" w:eastAsia="Times New Roman" w:hAnsi="Times New Roman" w:cs="Times New Roman"/>
          <w:sz w:val="24"/>
          <w:szCs w:val="24"/>
          <w:lang w:eastAsia="en-CA"/>
        </w:rPr>
        <w:t>Pieh</w:t>
      </w:r>
      <w:proofErr w:type="spellEnd"/>
      <w:r w:rsidRPr="00540A0C">
        <w:rPr>
          <w:rFonts w:ascii="Times New Roman" w:eastAsia="Times New Roman" w:hAnsi="Times New Roman" w:cs="Times New Roman"/>
          <w:sz w:val="24"/>
          <w:szCs w:val="24"/>
          <w:lang w:eastAsia="en-CA"/>
        </w:rPr>
        <w:t xml:space="preserve">, C. (2016). A meta‐analytic review of brief guided self‐help education for chronic pain. </w:t>
      </w:r>
      <w:r w:rsidRPr="00540A0C">
        <w:rPr>
          <w:rFonts w:ascii="Times New Roman" w:eastAsia="Times New Roman" w:hAnsi="Times New Roman" w:cs="Times New Roman"/>
          <w:i/>
          <w:iCs/>
          <w:sz w:val="24"/>
          <w:szCs w:val="24"/>
          <w:lang w:eastAsia="en-CA"/>
        </w:rPr>
        <w:t>European Journal of Pain</w:t>
      </w:r>
      <w:r w:rsidRPr="00540A0C">
        <w:rPr>
          <w:rFonts w:ascii="Times New Roman" w:eastAsia="Times New Roman" w:hAnsi="Times New Roman" w:cs="Times New Roman"/>
          <w:sz w:val="24"/>
          <w:szCs w:val="24"/>
          <w:lang w:eastAsia="en-CA"/>
        </w:rPr>
        <w:t xml:space="preserve">, </w:t>
      </w:r>
      <w:r w:rsidRPr="00540A0C">
        <w:rPr>
          <w:rFonts w:ascii="Times New Roman" w:eastAsia="Times New Roman" w:hAnsi="Times New Roman" w:cs="Times New Roman"/>
          <w:i/>
          <w:iCs/>
          <w:sz w:val="24"/>
          <w:szCs w:val="24"/>
          <w:lang w:eastAsia="en-CA"/>
        </w:rPr>
        <w:t>20</w:t>
      </w:r>
      <w:r w:rsidRPr="00540A0C">
        <w:rPr>
          <w:rFonts w:ascii="Times New Roman" w:eastAsia="Times New Roman" w:hAnsi="Times New Roman" w:cs="Times New Roman"/>
          <w:sz w:val="24"/>
          <w:szCs w:val="24"/>
          <w:lang w:eastAsia="en-CA"/>
        </w:rPr>
        <w:t>(10), 1551-1562.</w:t>
      </w:r>
    </w:p>
    <w:p w14:paraId="0197FA9C" w14:textId="77777777" w:rsidR="00785623" w:rsidRPr="00785623" w:rsidRDefault="00785623" w:rsidP="00785623">
      <w:pPr>
        <w:spacing w:after="0" w:line="240" w:lineRule="auto"/>
        <w:ind w:left="720" w:hanging="720"/>
        <w:rPr>
          <w:rFonts w:ascii="Times New Roman" w:eastAsia="Times New Roman" w:hAnsi="Times New Roman" w:cs="Times New Roman"/>
          <w:sz w:val="24"/>
          <w:szCs w:val="24"/>
          <w:lang w:eastAsia="en-CA"/>
        </w:rPr>
      </w:pPr>
      <w:r w:rsidRPr="00785623">
        <w:rPr>
          <w:rFonts w:ascii="Times New Roman" w:eastAsia="Times New Roman" w:hAnsi="Times New Roman" w:cs="Times New Roman"/>
          <w:sz w:val="24"/>
          <w:szCs w:val="24"/>
          <w:lang w:eastAsia="en-CA"/>
        </w:rPr>
        <w:lastRenderedPageBreak/>
        <w:t xml:space="preserve">Mehta, S., </w:t>
      </w:r>
      <w:proofErr w:type="spellStart"/>
      <w:r w:rsidRPr="00785623">
        <w:rPr>
          <w:rFonts w:ascii="Times New Roman" w:eastAsia="Times New Roman" w:hAnsi="Times New Roman" w:cs="Times New Roman"/>
          <w:sz w:val="24"/>
          <w:szCs w:val="24"/>
          <w:lang w:eastAsia="en-CA"/>
        </w:rPr>
        <w:t>Peynenburg</w:t>
      </w:r>
      <w:proofErr w:type="spellEnd"/>
      <w:r w:rsidRPr="00785623">
        <w:rPr>
          <w:rFonts w:ascii="Times New Roman" w:eastAsia="Times New Roman" w:hAnsi="Times New Roman" w:cs="Times New Roman"/>
          <w:sz w:val="24"/>
          <w:szCs w:val="24"/>
          <w:lang w:eastAsia="en-CA"/>
        </w:rPr>
        <w:t xml:space="preserve">, V. A., &amp; </w:t>
      </w:r>
      <w:proofErr w:type="spellStart"/>
      <w:r w:rsidRPr="00785623">
        <w:rPr>
          <w:rFonts w:ascii="Times New Roman" w:eastAsia="Times New Roman" w:hAnsi="Times New Roman" w:cs="Times New Roman"/>
          <w:sz w:val="24"/>
          <w:szCs w:val="24"/>
          <w:lang w:eastAsia="en-CA"/>
        </w:rPr>
        <w:t>Hadjistavropoulos</w:t>
      </w:r>
      <w:proofErr w:type="spellEnd"/>
      <w:r w:rsidRPr="00785623">
        <w:rPr>
          <w:rFonts w:ascii="Times New Roman" w:eastAsia="Times New Roman" w:hAnsi="Times New Roman" w:cs="Times New Roman"/>
          <w:sz w:val="24"/>
          <w:szCs w:val="24"/>
          <w:lang w:eastAsia="en-CA"/>
        </w:rPr>
        <w:t xml:space="preserve">, H. D. (2019). Internet-delivered cognitive behaviour therapy for chronic health conditions: a systematic review and meta-analysis. </w:t>
      </w:r>
      <w:r w:rsidRPr="00785623">
        <w:rPr>
          <w:rFonts w:ascii="Times New Roman" w:eastAsia="Times New Roman" w:hAnsi="Times New Roman" w:cs="Times New Roman"/>
          <w:i/>
          <w:iCs/>
          <w:sz w:val="24"/>
          <w:szCs w:val="24"/>
          <w:lang w:eastAsia="en-CA"/>
        </w:rPr>
        <w:t>Journal of behavioral medicine</w:t>
      </w:r>
      <w:r w:rsidRPr="00785623">
        <w:rPr>
          <w:rFonts w:ascii="Times New Roman" w:eastAsia="Times New Roman" w:hAnsi="Times New Roman" w:cs="Times New Roman"/>
          <w:sz w:val="24"/>
          <w:szCs w:val="24"/>
          <w:lang w:eastAsia="en-CA"/>
        </w:rPr>
        <w:t xml:space="preserve">, </w:t>
      </w:r>
      <w:r w:rsidRPr="00785623">
        <w:rPr>
          <w:rFonts w:ascii="Times New Roman" w:eastAsia="Times New Roman" w:hAnsi="Times New Roman" w:cs="Times New Roman"/>
          <w:i/>
          <w:iCs/>
          <w:sz w:val="24"/>
          <w:szCs w:val="24"/>
          <w:lang w:eastAsia="en-CA"/>
        </w:rPr>
        <w:t>42</w:t>
      </w:r>
      <w:r w:rsidRPr="00785623">
        <w:rPr>
          <w:rFonts w:ascii="Times New Roman" w:eastAsia="Times New Roman" w:hAnsi="Times New Roman" w:cs="Times New Roman"/>
          <w:sz w:val="24"/>
          <w:szCs w:val="24"/>
          <w:lang w:eastAsia="en-CA"/>
        </w:rPr>
        <w:t>(2), 169-187.</w:t>
      </w:r>
    </w:p>
    <w:p w14:paraId="62BFD8EF" w14:textId="3EED5669"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proofErr w:type="spellStart"/>
      <w:r w:rsidRPr="00540A0C">
        <w:rPr>
          <w:rFonts w:ascii="Times New Roman" w:eastAsia="Times New Roman" w:hAnsi="Times New Roman" w:cs="Times New Roman"/>
          <w:sz w:val="24"/>
          <w:szCs w:val="24"/>
          <w:lang w:eastAsia="en-CA"/>
        </w:rPr>
        <w:t>Papaleontiou</w:t>
      </w:r>
      <w:proofErr w:type="spellEnd"/>
      <w:r w:rsidRPr="00540A0C">
        <w:rPr>
          <w:rFonts w:ascii="Times New Roman" w:eastAsia="Times New Roman" w:hAnsi="Times New Roman" w:cs="Times New Roman"/>
          <w:sz w:val="24"/>
          <w:szCs w:val="24"/>
          <w:lang w:eastAsia="en-CA"/>
        </w:rPr>
        <w:t xml:space="preserve">, M., Henderson Jr, C. R., Turner, B. J., Moore, A. A., </w:t>
      </w:r>
      <w:proofErr w:type="spellStart"/>
      <w:r w:rsidRPr="00540A0C">
        <w:rPr>
          <w:rFonts w:ascii="Times New Roman" w:eastAsia="Times New Roman" w:hAnsi="Times New Roman" w:cs="Times New Roman"/>
          <w:sz w:val="24"/>
          <w:szCs w:val="24"/>
          <w:lang w:eastAsia="en-CA"/>
        </w:rPr>
        <w:t>Olkhovskaya</w:t>
      </w:r>
      <w:proofErr w:type="spellEnd"/>
      <w:r w:rsidRPr="00540A0C">
        <w:rPr>
          <w:rFonts w:ascii="Times New Roman" w:eastAsia="Times New Roman" w:hAnsi="Times New Roman" w:cs="Times New Roman"/>
          <w:sz w:val="24"/>
          <w:szCs w:val="24"/>
          <w:lang w:eastAsia="en-CA"/>
        </w:rPr>
        <w:t xml:space="preserve">, Y., </w:t>
      </w:r>
      <w:proofErr w:type="spellStart"/>
      <w:r w:rsidRPr="00540A0C">
        <w:rPr>
          <w:rFonts w:ascii="Times New Roman" w:eastAsia="Times New Roman" w:hAnsi="Times New Roman" w:cs="Times New Roman"/>
          <w:sz w:val="24"/>
          <w:szCs w:val="24"/>
          <w:lang w:eastAsia="en-CA"/>
        </w:rPr>
        <w:t>Amanfo</w:t>
      </w:r>
      <w:proofErr w:type="spellEnd"/>
      <w:r w:rsidRPr="00540A0C">
        <w:rPr>
          <w:rFonts w:ascii="Times New Roman" w:eastAsia="Times New Roman" w:hAnsi="Times New Roman" w:cs="Times New Roman"/>
          <w:sz w:val="24"/>
          <w:szCs w:val="24"/>
          <w:lang w:eastAsia="en-CA"/>
        </w:rPr>
        <w:t xml:space="preserve">, L., &amp; Reid, M. C. (2010). Outcomes associated with opioid use in the treatment of chronic noncancer pain in older adults: a systematic review and meta‐analysis. </w:t>
      </w:r>
      <w:r w:rsidRPr="00540A0C">
        <w:rPr>
          <w:rFonts w:ascii="Times New Roman" w:eastAsia="Times New Roman" w:hAnsi="Times New Roman" w:cs="Times New Roman"/>
          <w:i/>
          <w:iCs/>
          <w:sz w:val="24"/>
          <w:szCs w:val="24"/>
          <w:lang w:eastAsia="en-CA"/>
        </w:rPr>
        <w:t>Journal of the American Geriatrics Society</w:t>
      </w:r>
      <w:r w:rsidRPr="00540A0C">
        <w:rPr>
          <w:rFonts w:ascii="Times New Roman" w:eastAsia="Times New Roman" w:hAnsi="Times New Roman" w:cs="Times New Roman"/>
          <w:sz w:val="24"/>
          <w:szCs w:val="24"/>
          <w:lang w:eastAsia="en-CA"/>
        </w:rPr>
        <w:t xml:space="preserve">, </w:t>
      </w:r>
      <w:r w:rsidRPr="00540A0C">
        <w:rPr>
          <w:rFonts w:ascii="Times New Roman" w:eastAsia="Times New Roman" w:hAnsi="Times New Roman" w:cs="Times New Roman"/>
          <w:i/>
          <w:iCs/>
          <w:sz w:val="24"/>
          <w:szCs w:val="24"/>
          <w:lang w:eastAsia="en-CA"/>
        </w:rPr>
        <w:t>58</w:t>
      </w:r>
      <w:r w:rsidRPr="00540A0C">
        <w:rPr>
          <w:rFonts w:ascii="Times New Roman" w:eastAsia="Times New Roman" w:hAnsi="Times New Roman" w:cs="Times New Roman"/>
          <w:sz w:val="24"/>
          <w:szCs w:val="24"/>
          <w:lang w:eastAsia="en-CA"/>
        </w:rPr>
        <w:t>(7), 1353-1369.</w:t>
      </w:r>
    </w:p>
    <w:p w14:paraId="18CBAEF4" w14:textId="77777777"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proofErr w:type="spellStart"/>
      <w:r w:rsidRPr="00540A0C">
        <w:rPr>
          <w:rFonts w:ascii="Times New Roman" w:eastAsia="Times New Roman" w:hAnsi="Times New Roman" w:cs="Times New Roman"/>
          <w:sz w:val="24"/>
          <w:szCs w:val="24"/>
          <w:lang w:eastAsia="en-CA"/>
        </w:rPr>
        <w:t>Peerdeman</w:t>
      </w:r>
      <w:proofErr w:type="spellEnd"/>
      <w:r w:rsidRPr="00540A0C">
        <w:rPr>
          <w:rFonts w:ascii="Times New Roman" w:eastAsia="Times New Roman" w:hAnsi="Times New Roman" w:cs="Times New Roman"/>
          <w:sz w:val="24"/>
          <w:szCs w:val="24"/>
          <w:lang w:eastAsia="en-CA"/>
        </w:rPr>
        <w:t xml:space="preserve">, K. J., van </w:t>
      </w:r>
      <w:proofErr w:type="spellStart"/>
      <w:r w:rsidRPr="00540A0C">
        <w:rPr>
          <w:rFonts w:ascii="Times New Roman" w:eastAsia="Times New Roman" w:hAnsi="Times New Roman" w:cs="Times New Roman"/>
          <w:sz w:val="24"/>
          <w:szCs w:val="24"/>
          <w:lang w:eastAsia="en-CA"/>
        </w:rPr>
        <w:t>Laarhoven</w:t>
      </w:r>
      <w:proofErr w:type="spellEnd"/>
      <w:r w:rsidRPr="00540A0C">
        <w:rPr>
          <w:rFonts w:ascii="Times New Roman" w:eastAsia="Times New Roman" w:hAnsi="Times New Roman" w:cs="Times New Roman"/>
          <w:sz w:val="24"/>
          <w:szCs w:val="24"/>
          <w:lang w:eastAsia="en-CA"/>
        </w:rPr>
        <w:t xml:space="preserve">, A. I., </w:t>
      </w:r>
      <w:proofErr w:type="spellStart"/>
      <w:r w:rsidRPr="00540A0C">
        <w:rPr>
          <w:rFonts w:ascii="Times New Roman" w:eastAsia="Times New Roman" w:hAnsi="Times New Roman" w:cs="Times New Roman"/>
          <w:sz w:val="24"/>
          <w:szCs w:val="24"/>
          <w:lang w:eastAsia="en-CA"/>
        </w:rPr>
        <w:t>Keij</w:t>
      </w:r>
      <w:proofErr w:type="spellEnd"/>
      <w:r w:rsidRPr="00540A0C">
        <w:rPr>
          <w:rFonts w:ascii="Times New Roman" w:eastAsia="Times New Roman" w:hAnsi="Times New Roman" w:cs="Times New Roman"/>
          <w:sz w:val="24"/>
          <w:szCs w:val="24"/>
          <w:lang w:eastAsia="en-CA"/>
        </w:rPr>
        <w:t xml:space="preserve">, S. M., Vase, L., Rovers, M. M., Peters, M. L., &amp; Evers, A. W. (2016). Relieving patients' pain with expectation interventions: a meta-analysis. </w:t>
      </w:r>
      <w:r w:rsidRPr="00540A0C">
        <w:rPr>
          <w:rFonts w:ascii="Times New Roman" w:eastAsia="Times New Roman" w:hAnsi="Times New Roman" w:cs="Times New Roman"/>
          <w:i/>
          <w:iCs/>
          <w:sz w:val="24"/>
          <w:szCs w:val="24"/>
          <w:lang w:eastAsia="en-CA"/>
        </w:rPr>
        <w:t>Pain</w:t>
      </w:r>
      <w:r w:rsidRPr="00540A0C">
        <w:rPr>
          <w:rFonts w:ascii="Times New Roman" w:eastAsia="Times New Roman" w:hAnsi="Times New Roman" w:cs="Times New Roman"/>
          <w:sz w:val="24"/>
          <w:szCs w:val="24"/>
          <w:lang w:eastAsia="en-CA"/>
        </w:rPr>
        <w:t xml:space="preserve">, </w:t>
      </w:r>
      <w:r w:rsidRPr="00540A0C">
        <w:rPr>
          <w:rFonts w:ascii="Times New Roman" w:eastAsia="Times New Roman" w:hAnsi="Times New Roman" w:cs="Times New Roman"/>
          <w:i/>
          <w:iCs/>
          <w:sz w:val="24"/>
          <w:szCs w:val="24"/>
          <w:lang w:eastAsia="en-CA"/>
        </w:rPr>
        <w:t>157</w:t>
      </w:r>
      <w:r w:rsidRPr="00540A0C">
        <w:rPr>
          <w:rFonts w:ascii="Times New Roman" w:eastAsia="Times New Roman" w:hAnsi="Times New Roman" w:cs="Times New Roman"/>
          <w:sz w:val="24"/>
          <w:szCs w:val="24"/>
          <w:lang w:eastAsia="en-CA"/>
        </w:rPr>
        <w:t>(6), 1179-1191.</w:t>
      </w:r>
    </w:p>
    <w:p w14:paraId="5B9CB489" w14:textId="77777777"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r w:rsidRPr="00540A0C">
        <w:rPr>
          <w:rFonts w:ascii="Times New Roman" w:eastAsia="Times New Roman" w:hAnsi="Times New Roman" w:cs="Times New Roman"/>
          <w:sz w:val="24"/>
          <w:szCs w:val="24"/>
          <w:lang w:eastAsia="en-CA"/>
        </w:rPr>
        <w:t xml:space="preserve">Reinecke, H., Weber, C., Lange, K., Simon, M., Stein, C., &amp; </w:t>
      </w:r>
      <w:proofErr w:type="spellStart"/>
      <w:r w:rsidRPr="00540A0C">
        <w:rPr>
          <w:rFonts w:ascii="Times New Roman" w:eastAsia="Times New Roman" w:hAnsi="Times New Roman" w:cs="Times New Roman"/>
          <w:sz w:val="24"/>
          <w:szCs w:val="24"/>
          <w:lang w:eastAsia="en-CA"/>
        </w:rPr>
        <w:t>Sorgatz</w:t>
      </w:r>
      <w:proofErr w:type="spellEnd"/>
      <w:r w:rsidRPr="00540A0C">
        <w:rPr>
          <w:rFonts w:ascii="Times New Roman" w:eastAsia="Times New Roman" w:hAnsi="Times New Roman" w:cs="Times New Roman"/>
          <w:sz w:val="24"/>
          <w:szCs w:val="24"/>
          <w:lang w:eastAsia="en-CA"/>
        </w:rPr>
        <w:t xml:space="preserve">, H. (2015). Analgesic efficacy of opioids in chronic pain: recent meta‐analyses. </w:t>
      </w:r>
      <w:r w:rsidRPr="00540A0C">
        <w:rPr>
          <w:rFonts w:ascii="Times New Roman" w:eastAsia="Times New Roman" w:hAnsi="Times New Roman" w:cs="Times New Roman"/>
          <w:i/>
          <w:iCs/>
          <w:sz w:val="24"/>
          <w:szCs w:val="24"/>
          <w:lang w:eastAsia="en-CA"/>
        </w:rPr>
        <w:t>British journal of pharmacology</w:t>
      </w:r>
      <w:r w:rsidRPr="00540A0C">
        <w:rPr>
          <w:rFonts w:ascii="Times New Roman" w:eastAsia="Times New Roman" w:hAnsi="Times New Roman" w:cs="Times New Roman"/>
          <w:sz w:val="24"/>
          <w:szCs w:val="24"/>
          <w:lang w:eastAsia="en-CA"/>
        </w:rPr>
        <w:t xml:space="preserve">, </w:t>
      </w:r>
      <w:r w:rsidRPr="00540A0C">
        <w:rPr>
          <w:rFonts w:ascii="Times New Roman" w:eastAsia="Times New Roman" w:hAnsi="Times New Roman" w:cs="Times New Roman"/>
          <w:i/>
          <w:iCs/>
          <w:sz w:val="24"/>
          <w:szCs w:val="24"/>
          <w:lang w:eastAsia="en-CA"/>
        </w:rPr>
        <w:t>172</w:t>
      </w:r>
      <w:r w:rsidRPr="00540A0C">
        <w:rPr>
          <w:rFonts w:ascii="Times New Roman" w:eastAsia="Times New Roman" w:hAnsi="Times New Roman" w:cs="Times New Roman"/>
          <w:sz w:val="24"/>
          <w:szCs w:val="24"/>
          <w:lang w:eastAsia="en-CA"/>
        </w:rPr>
        <w:t>(2), 324-333.</w:t>
      </w:r>
    </w:p>
    <w:p w14:paraId="4F49FDFB" w14:textId="77777777"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r w:rsidRPr="00540A0C">
        <w:rPr>
          <w:rFonts w:ascii="Times New Roman" w:eastAsia="Times New Roman" w:hAnsi="Times New Roman" w:cs="Times New Roman"/>
          <w:sz w:val="24"/>
          <w:szCs w:val="24"/>
          <w:lang w:eastAsia="en-CA"/>
        </w:rPr>
        <w:t xml:space="preserve">Turk, D. C., Wilson, H. D., &amp; </w:t>
      </w:r>
      <w:proofErr w:type="spellStart"/>
      <w:r w:rsidRPr="00540A0C">
        <w:rPr>
          <w:rFonts w:ascii="Times New Roman" w:eastAsia="Times New Roman" w:hAnsi="Times New Roman" w:cs="Times New Roman"/>
          <w:sz w:val="24"/>
          <w:szCs w:val="24"/>
          <w:lang w:eastAsia="en-CA"/>
        </w:rPr>
        <w:t>Cahana</w:t>
      </w:r>
      <w:proofErr w:type="spellEnd"/>
      <w:r w:rsidRPr="00540A0C">
        <w:rPr>
          <w:rFonts w:ascii="Times New Roman" w:eastAsia="Times New Roman" w:hAnsi="Times New Roman" w:cs="Times New Roman"/>
          <w:sz w:val="24"/>
          <w:szCs w:val="24"/>
          <w:lang w:eastAsia="en-CA"/>
        </w:rPr>
        <w:t xml:space="preserve">, A. (2011). Treatment of chronic non-cancer pain. </w:t>
      </w:r>
      <w:r w:rsidRPr="00540A0C">
        <w:rPr>
          <w:rFonts w:ascii="Times New Roman" w:eastAsia="Times New Roman" w:hAnsi="Times New Roman" w:cs="Times New Roman"/>
          <w:i/>
          <w:iCs/>
          <w:sz w:val="24"/>
          <w:szCs w:val="24"/>
          <w:lang w:eastAsia="en-CA"/>
        </w:rPr>
        <w:t>The Lancet</w:t>
      </w:r>
      <w:r w:rsidRPr="00540A0C">
        <w:rPr>
          <w:rFonts w:ascii="Times New Roman" w:eastAsia="Times New Roman" w:hAnsi="Times New Roman" w:cs="Times New Roman"/>
          <w:sz w:val="24"/>
          <w:szCs w:val="24"/>
          <w:lang w:eastAsia="en-CA"/>
        </w:rPr>
        <w:t xml:space="preserve">, </w:t>
      </w:r>
      <w:r w:rsidRPr="00540A0C">
        <w:rPr>
          <w:rFonts w:ascii="Times New Roman" w:eastAsia="Times New Roman" w:hAnsi="Times New Roman" w:cs="Times New Roman"/>
          <w:i/>
          <w:iCs/>
          <w:sz w:val="24"/>
          <w:szCs w:val="24"/>
          <w:lang w:eastAsia="en-CA"/>
        </w:rPr>
        <w:t>377</w:t>
      </w:r>
      <w:r w:rsidRPr="00540A0C">
        <w:rPr>
          <w:rFonts w:ascii="Times New Roman" w:eastAsia="Times New Roman" w:hAnsi="Times New Roman" w:cs="Times New Roman"/>
          <w:sz w:val="24"/>
          <w:szCs w:val="24"/>
          <w:lang w:eastAsia="en-CA"/>
        </w:rPr>
        <w:t>(9784), 2226-2235.</w:t>
      </w:r>
    </w:p>
    <w:p w14:paraId="0A90B285" w14:textId="77777777" w:rsidR="00540A0C" w:rsidRPr="00540A0C" w:rsidRDefault="00540A0C" w:rsidP="009519E5">
      <w:pPr>
        <w:spacing w:after="0" w:line="240" w:lineRule="auto"/>
        <w:ind w:left="720" w:hanging="720"/>
        <w:rPr>
          <w:rFonts w:ascii="Times New Roman" w:eastAsia="Times New Roman" w:hAnsi="Times New Roman" w:cs="Times New Roman"/>
          <w:sz w:val="24"/>
          <w:szCs w:val="24"/>
          <w:lang w:eastAsia="en-CA"/>
        </w:rPr>
      </w:pPr>
      <w:proofErr w:type="spellStart"/>
      <w:r w:rsidRPr="00540A0C">
        <w:rPr>
          <w:rFonts w:ascii="Times New Roman" w:eastAsia="Times New Roman" w:hAnsi="Times New Roman" w:cs="Times New Roman"/>
          <w:sz w:val="24"/>
          <w:szCs w:val="24"/>
          <w:lang w:eastAsia="en-CA"/>
        </w:rPr>
        <w:t>Veehof</w:t>
      </w:r>
      <w:proofErr w:type="spellEnd"/>
      <w:r w:rsidRPr="00540A0C">
        <w:rPr>
          <w:rFonts w:ascii="Times New Roman" w:eastAsia="Times New Roman" w:hAnsi="Times New Roman" w:cs="Times New Roman"/>
          <w:sz w:val="24"/>
          <w:szCs w:val="24"/>
          <w:lang w:eastAsia="en-CA"/>
        </w:rPr>
        <w:t xml:space="preserve">, M. M., </w:t>
      </w:r>
      <w:proofErr w:type="spellStart"/>
      <w:r w:rsidRPr="00540A0C">
        <w:rPr>
          <w:rFonts w:ascii="Times New Roman" w:eastAsia="Times New Roman" w:hAnsi="Times New Roman" w:cs="Times New Roman"/>
          <w:sz w:val="24"/>
          <w:szCs w:val="24"/>
          <w:lang w:eastAsia="en-CA"/>
        </w:rPr>
        <w:t>Oskam</w:t>
      </w:r>
      <w:proofErr w:type="spellEnd"/>
      <w:r w:rsidRPr="00540A0C">
        <w:rPr>
          <w:rFonts w:ascii="Times New Roman" w:eastAsia="Times New Roman" w:hAnsi="Times New Roman" w:cs="Times New Roman"/>
          <w:sz w:val="24"/>
          <w:szCs w:val="24"/>
          <w:lang w:eastAsia="en-CA"/>
        </w:rPr>
        <w:t xml:space="preserve">, M. J., </w:t>
      </w:r>
      <w:proofErr w:type="spellStart"/>
      <w:r w:rsidRPr="00540A0C">
        <w:rPr>
          <w:rFonts w:ascii="Times New Roman" w:eastAsia="Times New Roman" w:hAnsi="Times New Roman" w:cs="Times New Roman"/>
          <w:sz w:val="24"/>
          <w:szCs w:val="24"/>
          <w:lang w:eastAsia="en-CA"/>
        </w:rPr>
        <w:t>Schreurs</w:t>
      </w:r>
      <w:proofErr w:type="spellEnd"/>
      <w:r w:rsidRPr="00540A0C">
        <w:rPr>
          <w:rFonts w:ascii="Times New Roman" w:eastAsia="Times New Roman" w:hAnsi="Times New Roman" w:cs="Times New Roman"/>
          <w:sz w:val="24"/>
          <w:szCs w:val="24"/>
          <w:lang w:eastAsia="en-CA"/>
        </w:rPr>
        <w:t xml:space="preserve">, K. M., &amp; </w:t>
      </w:r>
      <w:proofErr w:type="spellStart"/>
      <w:r w:rsidRPr="00540A0C">
        <w:rPr>
          <w:rFonts w:ascii="Times New Roman" w:eastAsia="Times New Roman" w:hAnsi="Times New Roman" w:cs="Times New Roman"/>
          <w:sz w:val="24"/>
          <w:szCs w:val="24"/>
          <w:lang w:eastAsia="en-CA"/>
        </w:rPr>
        <w:t>Bohlmeijer</w:t>
      </w:r>
      <w:proofErr w:type="spellEnd"/>
      <w:r w:rsidRPr="00540A0C">
        <w:rPr>
          <w:rFonts w:ascii="Times New Roman" w:eastAsia="Times New Roman" w:hAnsi="Times New Roman" w:cs="Times New Roman"/>
          <w:sz w:val="24"/>
          <w:szCs w:val="24"/>
          <w:lang w:eastAsia="en-CA"/>
        </w:rPr>
        <w:t xml:space="preserve">, E. T. (2011). Acceptance-based interventions for the treatment of chronic pain: a systematic review and meta-analysis. </w:t>
      </w:r>
      <w:r w:rsidRPr="00540A0C">
        <w:rPr>
          <w:rFonts w:ascii="Times New Roman" w:eastAsia="Times New Roman" w:hAnsi="Times New Roman" w:cs="Times New Roman"/>
          <w:i/>
          <w:iCs/>
          <w:sz w:val="24"/>
          <w:szCs w:val="24"/>
          <w:lang w:eastAsia="en-CA"/>
        </w:rPr>
        <w:t>PAIN®</w:t>
      </w:r>
      <w:r w:rsidRPr="00540A0C">
        <w:rPr>
          <w:rFonts w:ascii="Times New Roman" w:eastAsia="Times New Roman" w:hAnsi="Times New Roman" w:cs="Times New Roman"/>
          <w:sz w:val="24"/>
          <w:szCs w:val="24"/>
          <w:lang w:eastAsia="en-CA"/>
        </w:rPr>
        <w:t xml:space="preserve">, </w:t>
      </w:r>
      <w:r w:rsidRPr="00540A0C">
        <w:rPr>
          <w:rFonts w:ascii="Times New Roman" w:eastAsia="Times New Roman" w:hAnsi="Times New Roman" w:cs="Times New Roman"/>
          <w:i/>
          <w:iCs/>
          <w:sz w:val="24"/>
          <w:szCs w:val="24"/>
          <w:lang w:eastAsia="en-CA"/>
        </w:rPr>
        <w:t>152</w:t>
      </w:r>
      <w:r w:rsidRPr="00540A0C">
        <w:rPr>
          <w:rFonts w:ascii="Times New Roman" w:eastAsia="Times New Roman" w:hAnsi="Times New Roman" w:cs="Times New Roman"/>
          <w:sz w:val="24"/>
          <w:szCs w:val="24"/>
          <w:lang w:eastAsia="en-CA"/>
        </w:rPr>
        <w:t>(3), 533-542.</w:t>
      </w:r>
    </w:p>
    <w:p w14:paraId="05CB2DF9" w14:textId="77777777" w:rsidR="00540A0C" w:rsidRPr="00540A0C" w:rsidRDefault="00540A0C" w:rsidP="00540A0C">
      <w:pPr>
        <w:spacing w:after="0" w:line="240" w:lineRule="auto"/>
        <w:ind w:left="720" w:hanging="720"/>
        <w:rPr>
          <w:rFonts w:ascii="Times New Roman" w:eastAsia="Times New Roman" w:hAnsi="Times New Roman" w:cs="Times New Roman"/>
          <w:sz w:val="24"/>
          <w:szCs w:val="24"/>
          <w:lang w:eastAsia="en-CA"/>
        </w:rPr>
      </w:pPr>
      <w:r w:rsidRPr="00540A0C">
        <w:rPr>
          <w:rFonts w:ascii="Times New Roman" w:eastAsia="Times New Roman" w:hAnsi="Times New Roman" w:cs="Times New Roman"/>
          <w:sz w:val="24"/>
          <w:szCs w:val="24"/>
          <w:lang w:eastAsia="en-CA"/>
        </w:rPr>
        <w:t xml:space="preserve">Vickers, A. J., </w:t>
      </w:r>
      <w:proofErr w:type="spellStart"/>
      <w:r w:rsidRPr="00540A0C">
        <w:rPr>
          <w:rFonts w:ascii="Times New Roman" w:eastAsia="Times New Roman" w:hAnsi="Times New Roman" w:cs="Times New Roman"/>
          <w:sz w:val="24"/>
          <w:szCs w:val="24"/>
          <w:lang w:eastAsia="en-CA"/>
        </w:rPr>
        <w:t>Vertosick</w:t>
      </w:r>
      <w:proofErr w:type="spellEnd"/>
      <w:r w:rsidRPr="00540A0C">
        <w:rPr>
          <w:rFonts w:ascii="Times New Roman" w:eastAsia="Times New Roman" w:hAnsi="Times New Roman" w:cs="Times New Roman"/>
          <w:sz w:val="24"/>
          <w:szCs w:val="24"/>
          <w:lang w:eastAsia="en-CA"/>
        </w:rPr>
        <w:t xml:space="preserve">, E. A., </w:t>
      </w:r>
      <w:proofErr w:type="spellStart"/>
      <w:r w:rsidRPr="00540A0C">
        <w:rPr>
          <w:rFonts w:ascii="Times New Roman" w:eastAsia="Times New Roman" w:hAnsi="Times New Roman" w:cs="Times New Roman"/>
          <w:sz w:val="24"/>
          <w:szCs w:val="24"/>
          <w:lang w:eastAsia="en-CA"/>
        </w:rPr>
        <w:t>Lewith</w:t>
      </w:r>
      <w:proofErr w:type="spellEnd"/>
      <w:r w:rsidRPr="00540A0C">
        <w:rPr>
          <w:rFonts w:ascii="Times New Roman" w:eastAsia="Times New Roman" w:hAnsi="Times New Roman" w:cs="Times New Roman"/>
          <w:sz w:val="24"/>
          <w:szCs w:val="24"/>
          <w:lang w:eastAsia="en-CA"/>
        </w:rPr>
        <w:t xml:space="preserve">, G., MacPherson, H., Foster, N. E., Sherman, K. J., ... &amp; Acupuncture Trialists' Collaboration. (2017). Acupuncture for chronic pain: update of an individual patient data meta-analysis. </w:t>
      </w:r>
      <w:r w:rsidRPr="00540A0C">
        <w:rPr>
          <w:rFonts w:ascii="Times New Roman" w:eastAsia="Times New Roman" w:hAnsi="Times New Roman" w:cs="Times New Roman"/>
          <w:i/>
          <w:iCs/>
          <w:sz w:val="24"/>
          <w:szCs w:val="24"/>
          <w:lang w:eastAsia="en-CA"/>
        </w:rPr>
        <w:t>The Journal of Pain</w:t>
      </w:r>
      <w:r w:rsidRPr="00540A0C">
        <w:rPr>
          <w:rFonts w:ascii="Times New Roman" w:eastAsia="Times New Roman" w:hAnsi="Times New Roman" w:cs="Times New Roman"/>
          <w:sz w:val="24"/>
          <w:szCs w:val="24"/>
          <w:lang w:eastAsia="en-CA"/>
        </w:rPr>
        <w:t>.</w:t>
      </w:r>
    </w:p>
    <w:p w14:paraId="34418EC6" w14:textId="77777777" w:rsidR="00540A0C" w:rsidRPr="00540A0C" w:rsidRDefault="00540A0C" w:rsidP="00540A0C">
      <w:pPr>
        <w:spacing w:after="0" w:line="240" w:lineRule="auto"/>
        <w:ind w:left="720" w:hanging="720"/>
        <w:rPr>
          <w:rFonts w:ascii="Times New Roman" w:eastAsia="Times New Roman" w:hAnsi="Times New Roman" w:cs="Times New Roman"/>
          <w:sz w:val="24"/>
          <w:szCs w:val="24"/>
          <w:lang w:eastAsia="en-CA"/>
        </w:rPr>
      </w:pPr>
      <w:r w:rsidRPr="00540A0C">
        <w:rPr>
          <w:rFonts w:ascii="Times New Roman" w:eastAsia="Times New Roman" w:hAnsi="Times New Roman" w:cs="Times New Roman"/>
          <w:sz w:val="24"/>
          <w:szCs w:val="24"/>
          <w:lang w:eastAsia="en-CA"/>
        </w:rPr>
        <w:t xml:space="preserve">Wieland, L. S., </w:t>
      </w:r>
      <w:proofErr w:type="spellStart"/>
      <w:r w:rsidRPr="00540A0C">
        <w:rPr>
          <w:rFonts w:ascii="Times New Roman" w:eastAsia="Times New Roman" w:hAnsi="Times New Roman" w:cs="Times New Roman"/>
          <w:sz w:val="24"/>
          <w:szCs w:val="24"/>
          <w:lang w:eastAsia="en-CA"/>
        </w:rPr>
        <w:t>Skoetz</w:t>
      </w:r>
      <w:proofErr w:type="spellEnd"/>
      <w:r w:rsidRPr="00540A0C">
        <w:rPr>
          <w:rFonts w:ascii="Times New Roman" w:eastAsia="Times New Roman" w:hAnsi="Times New Roman" w:cs="Times New Roman"/>
          <w:sz w:val="24"/>
          <w:szCs w:val="24"/>
          <w:lang w:eastAsia="en-CA"/>
        </w:rPr>
        <w:t xml:space="preserve">, N., Pilkington, K., </w:t>
      </w:r>
      <w:proofErr w:type="spellStart"/>
      <w:r w:rsidRPr="00540A0C">
        <w:rPr>
          <w:rFonts w:ascii="Times New Roman" w:eastAsia="Times New Roman" w:hAnsi="Times New Roman" w:cs="Times New Roman"/>
          <w:sz w:val="24"/>
          <w:szCs w:val="24"/>
          <w:lang w:eastAsia="en-CA"/>
        </w:rPr>
        <w:t>Vempati</w:t>
      </w:r>
      <w:proofErr w:type="spellEnd"/>
      <w:r w:rsidRPr="00540A0C">
        <w:rPr>
          <w:rFonts w:ascii="Times New Roman" w:eastAsia="Times New Roman" w:hAnsi="Times New Roman" w:cs="Times New Roman"/>
          <w:sz w:val="24"/>
          <w:szCs w:val="24"/>
          <w:lang w:eastAsia="en-CA"/>
        </w:rPr>
        <w:t xml:space="preserve">, R., </w:t>
      </w:r>
      <w:proofErr w:type="spellStart"/>
      <w:r w:rsidRPr="00540A0C">
        <w:rPr>
          <w:rFonts w:ascii="Times New Roman" w:eastAsia="Times New Roman" w:hAnsi="Times New Roman" w:cs="Times New Roman"/>
          <w:sz w:val="24"/>
          <w:szCs w:val="24"/>
          <w:lang w:eastAsia="en-CA"/>
        </w:rPr>
        <w:t>D'Adamo</w:t>
      </w:r>
      <w:proofErr w:type="spellEnd"/>
      <w:r w:rsidRPr="00540A0C">
        <w:rPr>
          <w:rFonts w:ascii="Times New Roman" w:eastAsia="Times New Roman" w:hAnsi="Times New Roman" w:cs="Times New Roman"/>
          <w:sz w:val="24"/>
          <w:szCs w:val="24"/>
          <w:lang w:eastAsia="en-CA"/>
        </w:rPr>
        <w:t xml:space="preserve">, C. R., &amp; Berman, B. M. (2017). Yoga treatment for chronic non‐specific low back pain. </w:t>
      </w:r>
      <w:r w:rsidRPr="00540A0C">
        <w:rPr>
          <w:rFonts w:ascii="Times New Roman" w:eastAsia="Times New Roman" w:hAnsi="Times New Roman" w:cs="Times New Roman"/>
          <w:i/>
          <w:iCs/>
          <w:sz w:val="24"/>
          <w:szCs w:val="24"/>
          <w:lang w:eastAsia="en-CA"/>
        </w:rPr>
        <w:t>The Cochrane Library</w:t>
      </w:r>
      <w:r w:rsidRPr="00540A0C">
        <w:rPr>
          <w:rFonts w:ascii="Times New Roman" w:eastAsia="Times New Roman" w:hAnsi="Times New Roman" w:cs="Times New Roman"/>
          <w:sz w:val="24"/>
          <w:szCs w:val="24"/>
          <w:lang w:eastAsia="en-CA"/>
        </w:rPr>
        <w:t>.</w:t>
      </w:r>
    </w:p>
    <w:p w14:paraId="09AA2CB6" w14:textId="771969B6" w:rsidR="00540A0C" w:rsidRPr="00540A0C" w:rsidRDefault="00540A0C" w:rsidP="00540A0C">
      <w:pPr>
        <w:spacing w:after="0" w:line="240" w:lineRule="auto"/>
        <w:ind w:left="720" w:hanging="720"/>
        <w:rPr>
          <w:rFonts w:ascii="Times New Roman" w:eastAsia="Times New Roman" w:hAnsi="Times New Roman" w:cs="Times New Roman"/>
          <w:sz w:val="24"/>
          <w:szCs w:val="24"/>
          <w:lang w:eastAsia="en-CA"/>
        </w:rPr>
      </w:pPr>
      <w:r w:rsidRPr="00540A0C">
        <w:rPr>
          <w:rFonts w:ascii="Times New Roman" w:eastAsia="Times New Roman" w:hAnsi="Times New Roman" w:cs="Times New Roman"/>
          <w:sz w:val="24"/>
          <w:szCs w:val="24"/>
          <w:lang w:eastAsia="en-CA"/>
        </w:rPr>
        <w:t xml:space="preserve">Williams, A. C. D. C., Eccleston, C., &amp; Morley, S. (2012). Psychological therapies for the management of chronic pain (excluding headache) in adults. </w:t>
      </w:r>
      <w:r w:rsidRPr="00540A0C">
        <w:rPr>
          <w:rFonts w:ascii="Times New Roman" w:eastAsia="Times New Roman" w:hAnsi="Times New Roman" w:cs="Times New Roman"/>
          <w:i/>
          <w:iCs/>
          <w:sz w:val="24"/>
          <w:szCs w:val="24"/>
          <w:lang w:eastAsia="en-CA"/>
        </w:rPr>
        <w:t xml:space="preserve">The </w:t>
      </w:r>
      <w:proofErr w:type="spellStart"/>
      <w:r w:rsidRPr="00540A0C">
        <w:rPr>
          <w:rFonts w:ascii="Times New Roman" w:eastAsia="Times New Roman" w:hAnsi="Times New Roman" w:cs="Times New Roman"/>
          <w:i/>
          <w:iCs/>
          <w:sz w:val="24"/>
          <w:szCs w:val="24"/>
          <w:lang w:eastAsia="en-CA"/>
        </w:rPr>
        <w:t>cochrane</w:t>
      </w:r>
      <w:proofErr w:type="spellEnd"/>
      <w:r w:rsidRPr="00540A0C">
        <w:rPr>
          <w:rFonts w:ascii="Times New Roman" w:eastAsia="Times New Roman" w:hAnsi="Times New Roman" w:cs="Times New Roman"/>
          <w:i/>
          <w:iCs/>
          <w:sz w:val="24"/>
          <w:szCs w:val="24"/>
          <w:lang w:eastAsia="en-CA"/>
        </w:rPr>
        <w:t xml:space="preserve"> library</w:t>
      </w:r>
      <w:r w:rsidRPr="00540A0C">
        <w:rPr>
          <w:rFonts w:ascii="Times New Roman" w:eastAsia="Times New Roman" w:hAnsi="Times New Roman" w:cs="Times New Roman"/>
          <w:sz w:val="24"/>
          <w:szCs w:val="24"/>
          <w:lang w:eastAsia="en-CA"/>
        </w:rPr>
        <w:t>.</w:t>
      </w:r>
    </w:p>
    <w:sectPr w:rsidR="00540A0C" w:rsidRPr="00540A0C" w:rsidSect="00153B01">
      <w:pgSz w:w="15840" w:h="12240"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B5"/>
    <w:rsid w:val="000042A9"/>
    <w:rsid w:val="00005B5C"/>
    <w:rsid w:val="00006319"/>
    <w:rsid w:val="0001177C"/>
    <w:rsid w:val="000147F9"/>
    <w:rsid w:val="000148A2"/>
    <w:rsid w:val="00020110"/>
    <w:rsid w:val="000238DA"/>
    <w:rsid w:val="00030F54"/>
    <w:rsid w:val="00047FE5"/>
    <w:rsid w:val="0005344E"/>
    <w:rsid w:val="000635E3"/>
    <w:rsid w:val="00070A7A"/>
    <w:rsid w:val="00070FB3"/>
    <w:rsid w:val="00075AD9"/>
    <w:rsid w:val="000824C4"/>
    <w:rsid w:val="00086C7C"/>
    <w:rsid w:val="00093A90"/>
    <w:rsid w:val="00094495"/>
    <w:rsid w:val="000A4EAF"/>
    <w:rsid w:val="000A7A75"/>
    <w:rsid w:val="000B219E"/>
    <w:rsid w:val="000B3440"/>
    <w:rsid w:val="000B6D77"/>
    <w:rsid w:val="000C5D30"/>
    <w:rsid w:val="000F1371"/>
    <w:rsid w:val="000F2A6C"/>
    <w:rsid w:val="001003F0"/>
    <w:rsid w:val="0010272B"/>
    <w:rsid w:val="00106FD8"/>
    <w:rsid w:val="00111409"/>
    <w:rsid w:val="00121014"/>
    <w:rsid w:val="001250A2"/>
    <w:rsid w:val="00130EAD"/>
    <w:rsid w:val="00132392"/>
    <w:rsid w:val="00146063"/>
    <w:rsid w:val="00146F06"/>
    <w:rsid w:val="00153B01"/>
    <w:rsid w:val="00154054"/>
    <w:rsid w:val="0015582C"/>
    <w:rsid w:val="00156389"/>
    <w:rsid w:val="00174726"/>
    <w:rsid w:val="001769CF"/>
    <w:rsid w:val="00183CCF"/>
    <w:rsid w:val="00194AA8"/>
    <w:rsid w:val="001965EB"/>
    <w:rsid w:val="001A7909"/>
    <w:rsid w:val="001B789A"/>
    <w:rsid w:val="001C07C3"/>
    <w:rsid w:val="001C0BAB"/>
    <w:rsid w:val="001C5DD7"/>
    <w:rsid w:val="001D0393"/>
    <w:rsid w:val="001D2D00"/>
    <w:rsid w:val="001E0EEC"/>
    <w:rsid w:val="001E0EF6"/>
    <w:rsid w:val="001E35C2"/>
    <w:rsid w:val="001E36D3"/>
    <w:rsid w:val="001F5CC2"/>
    <w:rsid w:val="001F6696"/>
    <w:rsid w:val="001F7C23"/>
    <w:rsid w:val="00205AA2"/>
    <w:rsid w:val="00206CA1"/>
    <w:rsid w:val="002075E5"/>
    <w:rsid w:val="002113FD"/>
    <w:rsid w:val="00214F47"/>
    <w:rsid w:val="00217558"/>
    <w:rsid w:val="00231B86"/>
    <w:rsid w:val="00244B2C"/>
    <w:rsid w:val="00253D35"/>
    <w:rsid w:val="00266CCE"/>
    <w:rsid w:val="0028454F"/>
    <w:rsid w:val="002A6854"/>
    <w:rsid w:val="002B14A8"/>
    <w:rsid w:val="002B1556"/>
    <w:rsid w:val="002C1757"/>
    <w:rsid w:val="002E68C6"/>
    <w:rsid w:val="002E6D6E"/>
    <w:rsid w:val="002E77F7"/>
    <w:rsid w:val="00305A18"/>
    <w:rsid w:val="003101E6"/>
    <w:rsid w:val="0031228F"/>
    <w:rsid w:val="0031474E"/>
    <w:rsid w:val="00315A38"/>
    <w:rsid w:val="0032375B"/>
    <w:rsid w:val="00323BBB"/>
    <w:rsid w:val="00327775"/>
    <w:rsid w:val="00337128"/>
    <w:rsid w:val="00343419"/>
    <w:rsid w:val="0034491D"/>
    <w:rsid w:val="00351BD3"/>
    <w:rsid w:val="00354823"/>
    <w:rsid w:val="003601DE"/>
    <w:rsid w:val="00367560"/>
    <w:rsid w:val="00371800"/>
    <w:rsid w:val="0038456D"/>
    <w:rsid w:val="00391010"/>
    <w:rsid w:val="003C2658"/>
    <w:rsid w:val="003D1D52"/>
    <w:rsid w:val="003D6D3E"/>
    <w:rsid w:val="003D75EF"/>
    <w:rsid w:val="003E34C5"/>
    <w:rsid w:val="003E588D"/>
    <w:rsid w:val="003F3B43"/>
    <w:rsid w:val="003F446C"/>
    <w:rsid w:val="00404E7E"/>
    <w:rsid w:val="00416DAF"/>
    <w:rsid w:val="004305C8"/>
    <w:rsid w:val="004425B8"/>
    <w:rsid w:val="00444B15"/>
    <w:rsid w:val="004461ED"/>
    <w:rsid w:val="004522B1"/>
    <w:rsid w:val="00461BF6"/>
    <w:rsid w:val="004657AA"/>
    <w:rsid w:val="004812AF"/>
    <w:rsid w:val="004A0429"/>
    <w:rsid w:val="004B59F5"/>
    <w:rsid w:val="004C0081"/>
    <w:rsid w:val="004C6306"/>
    <w:rsid w:val="004D4026"/>
    <w:rsid w:val="004D6E72"/>
    <w:rsid w:val="004F1970"/>
    <w:rsid w:val="004F2734"/>
    <w:rsid w:val="00504E7B"/>
    <w:rsid w:val="00517502"/>
    <w:rsid w:val="00520333"/>
    <w:rsid w:val="00522FA2"/>
    <w:rsid w:val="00532178"/>
    <w:rsid w:val="0053724D"/>
    <w:rsid w:val="00540A0C"/>
    <w:rsid w:val="00553CB4"/>
    <w:rsid w:val="00557D91"/>
    <w:rsid w:val="00573318"/>
    <w:rsid w:val="005751E6"/>
    <w:rsid w:val="00590C05"/>
    <w:rsid w:val="005922EB"/>
    <w:rsid w:val="005938B3"/>
    <w:rsid w:val="005B5DFC"/>
    <w:rsid w:val="005D140C"/>
    <w:rsid w:val="005F579E"/>
    <w:rsid w:val="006048DA"/>
    <w:rsid w:val="00614060"/>
    <w:rsid w:val="0061422A"/>
    <w:rsid w:val="00617EB2"/>
    <w:rsid w:val="00625B37"/>
    <w:rsid w:val="006300CF"/>
    <w:rsid w:val="006300D4"/>
    <w:rsid w:val="006418D2"/>
    <w:rsid w:val="00645207"/>
    <w:rsid w:val="0064623A"/>
    <w:rsid w:val="00647365"/>
    <w:rsid w:val="00663F07"/>
    <w:rsid w:val="00671CCB"/>
    <w:rsid w:val="00684F1A"/>
    <w:rsid w:val="0069141D"/>
    <w:rsid w:val="00693700"/>
    <w:rsid w:val="006A055C"/>
    <w:rsid w:val="006A2688"/>
    <w:rsid w:val="006B549A"/>
    <w:rsid w:val="006C5238"/>
    <w:rsid w:val="006D49D1"/>
    <w:rsid w:val="006E7E6F"/>
    <w:rsid w:val="006F5BE5"/>
    <w:rsid w:val="00702214"/>
    <w:rsid w:val="0070605C"/>
    <w:rsid w:val="007060C0"/>
    <w:rsid w:val="00711EAD"/>
    <w:rsid w:val="00720AE9"/>
    <w:rsid w:val="007251F6"/>
    <w:rsid w:val="007360DC"/>
    <w:rsid w:val="00753205"/>
    <w:rsid w:val="00757EDE"/>
    <w:rsid w:val="007662E3"/>
    <w:rsid w:val="00773C09"/>
    <w:rsid w:val="00774D03"/>
    <w:rsid w:val="00776F79"/>
    <w:rsid w:val="00780BC6"/>
    <w:rsid w:val="0078357E"/>
    <w:rsid w:val="00783A43"/>
    <w:rsid w:val="007847AF"/>
    <w:rsid w:val="00785623"/>
    <w:rsid w:val="00795180"/>
    <w:rsid w:val="007974DC"/>
    <w:rsid w:val="007A1ADB"/>
    <w:rsid w:val="007D1E43"/>
    <w:rsid w:val="007E3A6A"/>
    <w:rsid w:val="007E4371"/>
    <w:rsid w:val="007E6374"/>
    <w:rsid w:val="008006C2"/>
    <w:rsid w:val="00803058"/>
    <w:rsid w:val="008147DB"/>
    <w:rsid w:val="008169EE"/>
    <w:rsid w:val="0082338B"/>
    <w:rsid w:val="0082503D"/>
    <w:rsid w:val="008250A2"/>
    <w:rsid w:val="0084024D"/>
    <w:rsid w:val="00844533"/>
    <w:rsid w:val="00852CCE"/>
    <w:rsid w:val="00870AC2"/>
    <w:rsid w:val="0087401E"/>
    <w:rsid w:val="00882681"/>
    <w:rsid w:val="0088322A"/>
    <w:rsid w:val="00887DBE"/>
    <w:rsid w:val="008913D5"/>
    <w:rsid w:val="0089152D"/>
    <w:rsid w:val="00893662"/>
    <w:rsid w:val="00896A18"/>
    <w:rsid w:val="008A146B"/>
    <w:rsid w:val="008A6426"/>
    <w:rsid w:val="008B0C25"/>
    <w:rsid w:val="008B10FF"/>
    <w:rsid w:val="008B2446"/>
    <w:rsid w:val="008B4D4F"/>
    <w:rsid w:val="008B594F"/>
    <w:rsid w:val="008E76F5"/>
    <w:rsid w:val="008F7E85"/>
    <w:rsid w:val="00904970"/>
    <w:rsid w:val="00923B17"/>
    <w:rsid w:val="00926188"/>
    <w:rsid w:val="009267BB"/>
    <w:rsid w:val="0093143C"/>
    <w:rsid w:val="00933A84"/>
    <w:rsid w:val="00940C55"/>
    <w:rsid w:val="009418E6"/>
    <w:rsid w:val="00943979"/>
    <w:rsid w:val="00944F9D"/>
    <w:rsid w:val="009461C6"/>
    <w:rsid w:val="009519E5"/>
    <w:rsid w:val="009616DD"/>
    <w:rsid w:val="00962191"/>
    <w:rsid w:val="0097293F"/>
    <w:rsid w:val="009737E8"/>
    <w:rsid w:val="00977912"/>
    <w:rsid w:val="009847B6"/>
    <w:rsid w:val="009864ED"/>
    <w:rsid w:val="009868B5"/>
    <w:rsid w:val="009911B5"/>
    <w:rsid w:val="00991999"/>
    <w:rsid w:val="00993229"/>
    <w:rsid w:val="00996B3A"/>
    <w:rsid w:val="009A2257"/>
    <w:rsid w:val="009A4F00"/>
    <w:rsid w:val="009B36F6"/>
    <w:rsid w:val="009B7372"/>
    <w:rsid w:val="009B74B1"/>
    <w:rsid w:val="009C4FBE"/>
    <w:rsid w:val="009C57E1"/>
    <w:rsid w:val="009C65E9"/>
    <w:rsid w:val="009D0D5F"/>
    <w:rsid w:val="009D28AF"/>
    <w:rsid w:val="009D6584"/>
    <w:rsid w:val="009E217F"/>
    <w:rsid w:val="009E2B09"/>
    <w:rsid w:val="009F0701"/>
    <w:rsid w:val="00A03D2A"/>
    <w:rsid w:val="00A100A2"/>
    <w:rsid w:val="00A22385"/>
    <w:rsid w:val="00A23225"/>
    <w:rsid w:val="00A32077"/>
    <w:rsid w:val="00A540A3"/>
    <w:rsid w:val="00A54775"/>
    <w:rsid w:val="00A5591E"/>
    <w:rsid w:val="00A61063"/>
    <w:rsid w:val="00A61C82"/>
    <w:rsid w:val="00A70575"/>
    <w:rsid w:val="00A758C2"/>
    <w:rsid w:val="00A77E4D"/>
    <w:rsid w:val="00A83088"/>
    <w:rsid w:val="00A8378D"/>
    <w:rsid w:val="00A86B6D"/>
    <w:rsid w:val="00A95A4E"/>
    <w:rsid w:val="00A95AB9"/>
    <w:rsid w:val="00AA45AD"/>
    <w:rsid w:val="00AB0140"/>
    <w:rsid w:val="00AD662B"/>
    <w:rsid w:val="00AE50B6"/>
    <w:rsid w:val="00AE5FD6"/>
    <w:rsid w:val="00AF15E1"/>
    <w:rsid w:val="00AF60B4"/>
    <w:rsid w:val="00AF6353"/>
    <w:rsid w:val="00AF6429"/>
    <w:rsid w:val="00AF6DFC"/>
    <w:rsid w:val="00B00DDA"/>
    <w:rsid w:val="00B04944"/>
    <w:rsid w:val="00B1672E"/>
    <w:rsid w:val="00B26360"/>
    <w:rsid w:val="00B30F27"/>
    <w:rsid w:val="00B350C5"/>
    <w:rsid w:val="00B36652"/>
    <w:rsid w:val="00B370FC"/>
    <w:rsid w:val="00B625AE"/>
    <w:rsid w:val="00B64656"/>
    <w:rsid w:val="00B663D2"/>
    <w:rsid w:val="00B673DC"/>
    <w:rsid w:val="00B71813"/>
    <w:rsid w:val="00B760D9"/>
    <w:rsid w:val="00B9587D"/>
    <w:rsid w:val="00B96088"/>
    <w:rsid w:val="00BA22E8"/>
    <w:rsid w:val="00BA47C0"/>
    <w:rsid w:val="00BA67FF"/>
    <w:rsid w:val="00BB4772"/>
    <w:rsid w:val="00BC7B96"/>
    <w:rsid w:val="00BD0EE1"/>
    <w:rsid w:val="00BE112E"/>
    <w:rsid w:val="00BF422F"/>
    <w:rsid w:val="00C042F2"/>
    <w:rsid w:val="00C04E1B"/>
    <w:rsid w:val="00C06360"/>
    <w:rsid w:val="00C10180"/>
    <w:rsid w:val="00C128CB"/>
    <w:rsid w:val="00C31666"/>
    <w:rsid w:val="00C365C5"/>
    <w:rsid w:val="00C40846"/>
    <w:rsid w:val="00C40A81"/>
    <w:rsid w:val="00C428B8"/>
    <w:rsid w:val="00C528D4"/>
    <w:rsid w:val="00C70E87"/>
    <w:rsid w:val="00C71C99"/>
    <w:rsid w:val="00C73DDD"/>
    <w:rsid w:val="00C800A7"/>
    <w:rsid w:val="00C84A07"/>
    <w:rsid w:val="00C90084"/>
    <w:rsid w:val="00C9120B"/>
    <w:rsid w:val="00CC114A"/>
    <w:rsid w:val="00CC7929"/>
    <w:rsid w:val="00CD2059"/>
    <w:rsid w:val="00CE4D3C"/>
    <w:rsid w:val="00CE74A0"/>
    <w:rsid w:val="00D030D1"/>
    <w:rsid w:val="00D06249"/>
    <w:rsid w:val="00D148B7"/>
    <w:rsid w:val="00D22C84"/>
    <w:rsid w:val="00D31A1C"/>
    <w:rsid w:val="00D32BFD"/>
    <w:rsid w:val="00D3467E"/>
    <w:rsid w:val="00D371A6"/>
    <w:rsid w:val="00D43DF5"/>
    <w:rsid w:val="00D440A4"/>
    <w:rsid w:val="00D4431A"/>
    <w:rsid w:val="00D44C7C"/>
    <w:rsid w:val="00D556AC"/>
    <w:rsid w:val="00D557AC"/>
    <w:rsid w:val="00D70F62"/>
    <w:rsid w:val="00D7285F"/>
    <w:rsid w:val="00D76F65"/>
    <w:rsid w:val="00D7719A"/>
    <w:rsid w:val="00D80447"/>
    <w:rsid w:val="00D80DF8"/>
    <w:rsid w:val="00D872B5"/>
    <w:rsid w:val="00D922E8"/>
    <w:rsid w:val="00D96E28"/>
    <w:rsid w:val="00DB0024"/>
    <w:rsid w:val="00DC7988"/>
    <w:rsid w:val="00DD11BC"/>
    <w:rsid w:val="00DD3B41"/>
    <w:rsid w:val="00DD4A3A"/>
    <w:rsid w:val="00DE002D"/>
    <w:rsid w:val="00DE1796"/>
    <w:rsid w:val="00DE2678"/>
    <w:rsid w:val="00DE3D7D"/>
    <w:rsid w:val="00DE4A81"/>
    <w:rsid w:val="00DE7085"/>
    <w:rsid w:val="00E00E04"/>
    <w:rsid w:val="00E17D82"/>
    <w:rsid w:val="00E31C0C"/>
    <w:rsid w:val="00E36B7D"/>
    <w:rsid w:val="00E425CB"/>
    <w:rsid w:val="00E66868"/>
    <w:rsid w:val="00E8675E"/>
    <w:rsid w:val="00E86F6C"/>
    <w:rsid w:val="00E976AE"/>
    <w:rsid w:val="00EB3DC1"/>
    <w:rsid w:val="00EC4279"/>
    <w:rsid w:val="00EE4505"/>
    <w:rsid w:val="00EE6626"/>
    <w:rsid w:val="00F01EB2"/>
    <w:rsid w:val="00F145B2"/>
    <w:rsid w:val="00F15380"/>
    <w:rsid w:val="00F1712F"/>
    <w:rsid w:val="00F17B4A"/>
    <w:rsid w:val="00F25D24"/>
    <w:rsid w:val="00F306E0"/>
    <w:rsid w:val="00F32F56"/>
    <w:rsid w:val="00F41C77"/>
    <w:rsid w:val="00F64B4D"/>
    <w:rsid w:val="00F65133"/>
    <w:rsid w:val="00F703C0"/>
    <w:rsid w:val="00F85ED6"/>
    <w:rsid w:val="00F91533"/>
    <w:rsid w:val="00F957A4"/>
    <w:rsid w:val="00F957D1"/>
    <w:rsid w:val="00F9771F"/>
    <w:rsid w:val="00FA2796"/>
    <w:rsid w:val="00FB4F30"/>
    <w:rsid w:val="00FB52D9"/>
    <w:rsid w:val="00FC3EC2"/>
    <w:rsid w:val="00FD49C3"/>
    <w:rsid w:val="00FD6260"/>
    <w:rsid w:val="00FE0937"/>
    <w:rsid w:val="00FE265F"/>
    <w:rsid w:val="00FE37DC"/>
    <w:rsid w:val="00FE4336"/>
    <w:rsid w:val="00FF2E16"/>
    <w:rsid w:val="00FF3B13"/>
    <w:rsid w:val="00FF5456"/>
    <w:rsid w:val="00FF7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1C04"/>
  <w15:chartTrackingRefBased/>
  <w15:docId w15:val="{CFFA33C7-BD0A-42EB-9770-3C9D4DD2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769">
      <w:bodyDiv w:val="1"/>
      <w:marLeft w:val="0"/>
      <w:marRight w:val="0"/>
      <w:marTop w:val="0"/>
      <w:marBottom w:val="0"/>
      <w:divBdr>
        <w:top w:val="none" w:sz="0" w:space="0" w:color="auto"/>
        <w:left w:val="none" w:sz="0" w:space="0" w:color="auto"/>
        <w:bottom w:val="none" w:sz="0" w:space="0" w:color="auto"/>
        <w:right w:val="none" w:sz="0" w:space="0" w:color="auto"/>
      </w:divBdr>
      <w:divsChild>
        <w:div w:id="209195253">
          <w:marLeft w:val="0"/>
          <w:marRight w:val="0"/>
          <w:marTop w:val="0"/>
          <w:marBottom w:val="0"/>
          <w:divBdr>
            <w:top w:val="none" w:sz="0" w:space="0" w:color="auto"/>
            <w:left w:val="none" w:sz="0" w:space="0" w:color="auto"/>
            <w:bottom w:val="none" w:sz="0" w:space="0" w:color="auto"/>
            <w:right w:val="none" w:sz="0" w:space="0" w:color="auto"/>
          </w:divBdr>
        </w:div>
      </w:divsChild>
    </w:div>
    <w:div w:id="105777383">
      <w:bodyDiv w:val="1"/>
      <w:marLeft w:val="0"/>
      <w:marRight w:val="0"/>
      <w:marTop w:val="0"/>
      <w:marBottom w:val="0"/>
      <w:divBdr>
        <w:top w:val="none" w:sz="0" w:space="0" w:color="auto"/>
        <w:left w:val="none" w:sz="0" w:space="0" w:color="auto"/>
        <w:bottom w:val="none" w:sz="0" w:space="0" w:color="auto"/>
        <w:right w:val="none" w:sz="0" w:space="0" w:color="auto"/>
      </w:divBdr>
      <w:divsChild>
        <w:div w:id="453058175">
          <w:marLeft w:val="0"/>
          <w:marRight w:val="0"/>
          <w:marTop w:val="0"/>
          <w:marBottom w:val="0"/>
          <w:divBdr>
            <w:top w:val="none" w:sz="0" w:space="0" w:color="auto"/>
            <w:left w:val="none" w:sz="0" w:space="0" w:color="auto"/>
            <w:bottom w:val="none" w:sz="0" w:space="0" w:color="auto"/>
            <w:right w:val="none" w:sz="0" w:space="0" w:color="auto"/>
          </w:divBdr>
        </w:div>
      </w:divsChild>
    </w:div>
    <w:div w:id="115375007">
      <w:bodyDiv w:val="1"/>
      <w:marLeft w:val="0"/>
      <w:marRight w:val="0"/>
      <w:marTop w:val="0"/>
      <w:marBottom w:val="0"/>
      <w:divBdr>
        <w:top w:val="none" w:sz="0" w:space="0" w:color="auto"/>
        <w:left w:val="none" w:sz="0" w:space="0" w:color="auto"/>
        <w:bottom w:val="none" w:sz="0" w:space="0" w:color="auto"/>
        <w:right w:val="none" w:sz="0" w:space="0" w:color="auto"/>
      </w:divBdr>
      <w:divsChild>
        <w:div w:id="254830626">
          <w:marLeft w:val="0"/>
          <w:marRight w:val="0"/>
          <w:marTop w:val="0"/>
          <w:marBottom w:val="0"/>
          <w:divBdr>
            <w:top w:val="none" w:sz="0" w:space="0" w:color="auto"/>
            <w:left w:val="none" w:sz="0" w:space="0" w:color="auto"/>
            <w:bottom w:val="none" w:sz="0" w:space="0" w:color="auto"/>
            <w:right w:val="none" w:sz="0" w:space="0" w:color="auto"/>
          </w:divBdr>
        </w:div>
      </w:divsChild>
    </w:div>
    <w:div w:id="220026072">
      <w:bodyDiv w:val="1"/>
      <w:marLeft w:val="0"/>
      <w:marRight w:val="0"/>
      <w:marTop w:val="0"/>
      <w:marBottom w:val="0"/>
      <w:divBdr>
        <w:top w:val="none" w:sz="0" w:space="0" w:color="auto"/>
        <w:left w:val="none" w:sz="0" w:space="0" w:color="auto"/>
        <w:bottom w:val="none" w:sz="0" w:space="0" w:color="auto"/>
        <w:right w:val="none" w:sz="0" w:space="0" w:color="auto"/>
      </w:divBdr>
      <w:divsChild>
        <w:div w:id="452746140">
          <w:marLeft w:val="0"/>
          <w:marRight w:val="0"/>
          <w:marTop w:val="0"/>
          <w:marBottom w:val="0"/>
          <w:divBdr>
            <w:top w:val="none" w:sz="0" w:space="0" w:color="auto"/>
            <w:left w:val="none" w:sz="0" w:space="0" w:color="auto"/>
            <w:bottom w:val="none" w:sz="0" w:space="0" w:color="auto"/>
            <w:right w:val="none" w:sz="0" w:space="0" w:color="auto"/>
          </w:divBdr>
        </w:div>
      </w:divsChild>
    </w:div>
    <w:div w:id="226116600">
      <w:bodyDiv w:val="1"/>
      <w:marLeft w:val="0"/>
      <w:marRight w:val="0"/>
      <w:marTop w:val="0"/>
      <w:marBottom w:val="0"/>
      <w:divBdr>
        <w:top w:val="none" w:sz="0" w:space="0" w:color="auto"/>
        <w:left w:val="none" w:sz="0" w:space="0" w:color="auto"/>
        <w:bottom w:val="none" w:sz="0" w:space="0" w:color="auto"/>
        <w:right w:val="none" w:sz="0" w:space="0" w:color="auto"/>
      </w:divBdr>
      <w:divsChild>
        <w:div w:id="102193405">
          <w:marLeft w:val="0"/>
          <w:marRight w:val="0"/>
          <w:marTop w:val="0"/>
          <w:marBottom w:val="0"/>
          <w:divBdr>
            <w:top w:val="none" w:sz="0" w:space="0" w:color="auto"/>
            <w:left w:val="none" w:sz="0" w:space="0" w:color="auto"/>
            <w:bottom w:val="none" w:sz="0" w:space="0" w:color="auto"/>
            <w:right w:val="none" w:sz="0" w:space="0" w:color="auto"/>
          </w:divBdr>
        </w:div>
      </w:divsChild>
    </w:div>
    <w:div w:id="239486558">
      <w:bodyDiv w:val="1"/>
      <w:marLeft w:val="0"/>
      <w:marRight w:val="0"/>
      <w:marTop w:val="0"/>
      <w:marBottom w:val="0"/>
      <w:divBdr>
        <w:top w:val="none" w:sz="0" w:space="0" w:color="auto"/>
        <w:left w:val="none" w:sz="0" w:space="0" w:color="auto"/>
        <w:bottom w:val="none" w:sz="0" w:space="0" w:color="auto"/>
        <w:right w:val="none" w:sz="0" w:space="0" w:color="auto"/>
      </w:divBdr>
      <w:divsChild>
        <w:div w:id="1862668980">
          <w:marLeft w:val="0"/>
          <w:marRight w:val="0"/>
          <w:marTop w:val="0"/>
          <w:marBottom w:val="0"/>
          <w:divBdr>
            <w:top w:val="none" w:sz="0" w:space="0" w:color="auto"/>
            <w:left w:val="none" w:sz="0" w:space="0" w:color="auto"/>
            <w:bottom w:val="none" w:sz="0" w:space="0" w:color="auto"/>
            <w:right w:val="none" w:sz="0" w:space="0" w:color="auto"/>
          </w:divBdr>
        </w:div>
      </w:divsChild>
    </w:div>
    <w:div w:id="275018517">
      <w:bodyDiv w:val="1"/>
      <w:marLeft w:val="0"/>
      <w:marRight w:val="0"/>
      <w:marTop w:val="0"/>
      <w:marBottom w:val="0"/>
      <w:divBdr>
        <w:top w:val="none" w:sz="0" w:space="0" w:color="auto"/>
        <w:left w:val="none" w:sz="0" w:space="0" w:color="auto"/>
        <w:bottom w:val="none" w:sz="0" w:space="0" w:color="auto"/>
        <w:right w:val="none" w:sz="0" w:space="0" w:color="auto"/>
      </w:divBdr>
      <w:divsChild>
        <w:div w:id="451480367">
          <w:marLeft w:val="0"/>
          <w:marRight w:val="0"/>
          <w:marTop w:val="0"/>
          <w:marBottom w:val="0"/>
          <w:divBdr>
            <w:top w:val="none" w:sz="0" w:space="0" w:color="auto"/>
            <w:left w:val="none" w:sz="0" w:space="0" w:color="auto"/>
            <w:bottom w:val="none" w:sz="0" w:space="0" w:color="auto"/>
            <w:right w:val="none" w:sz="0" w:space="0" w:color="auto"/>
          </w:divBdr>
        </w:div>
      </w:divsChild>
    </w:div>
    <w:div w:id="376201874">
      <w:bodyDiv w:val="1"/>
      <w:marLeft w:val="0"/>
      <w:marRight w:val="0"/>
      <w:marTop w:val="0"/>
      <w:marBottom w:val="0"/>
      <w:divBdr>
        <w:top w:val="none" w:sz="0" w:space="0" w:color="auto"/>
        <w:left w:val="none" w:sz="0" w:space="0" w:color="auto"/>
        <w:bottom w:val="none" w:sz="0" w:space="0" w:color="auto"/>
        <w:right w:val="none" w:sz="0" w:space="0" w:color="auto"/>
      </w:divBdr>
      <w:divsChild>
        <w:div w:id="482236956">
          <w:marLeft w:val="0"/>
          <w:marRight w:val="0"/>
          <w:marTop w:val="0"/>
          <w:marBottom w:val="0"/>
          <w:divBdr>
            <w:top w:val="none" w:sz="0" w:space="0" w:color="auto"/>
            <w:left w:val="none" w:sz="0" w:space="0" w:color="auto"/>
            <w:bottom w:val="none" w:sz="0" w:space="0" w:color="auto"/>
            <w:right w:val="none" w:sz="0" w:space="0" w:color="auto"/>
          </w:divBdr>
        </w:div>
      </w:divsChild>
    </w:div>
    <w:div w:id="419060591">
      <w:bodyDiv w:val="1"/>
      <w:marLeft w:val="0"/>
      <w:marRight w:val="0"/>
      <w:marTop w:val="0"/>
      <w:marBottom w:val="0"/>
      <w:divBdr>
        <w:top w:val="none" w:sz="0" w:space="0" w:color="auto"/>
        <w:left w:val="none" w:sz="0" w:space="0" w:color="auto"/>
        <w:bottom w:val="none" w:sz="0" w:space="0" w:color="auto"/>
        <w:right w:val="none" w:sz="0" w:space="0" w:color="auto"/>
      </w:divBdr>
      <w:divsChild>
        <w:div w:id="548109415">
          <w:marLeft w:val="0"/>
          <w:marRight w:val="0"/>
          <w:marTop w:val="0"/>
          <w:marBottom w:val="0"/>
          <w:divBdr>
            <w:top w:val="none" w:sz="0" w:space="0" w:color="auto"/>
            <w:left w:val="none" w:sz="0" w:space="0" w:color="auto"/>
            <w:bottom w:val="none" w:sz="0" w:space="0" w:color="auto"/>
            <w:right w:val="none" w:sz="0" w:space="0" w:color="auto"/>
          </w:divBdr>
        </w:div>
      </w:divsChild>
    </w:div>
    <w:div w:id="472138905">
      <w:bodyDiv w:val="1"/>
      <w:marLeft w:val="0"/>
      <w:marRight w:val="0"/>
      <w:marTop w:val="0"/>
      <w:marBottom w:val="0"/>
      <w:divBdr>
        <w:top w:val="none" w:sz="0" w:space="0" w:color="auto"/>
        <w:left w:val="none" w:sz="0" w:space="0" w:color="auto"/>
        <w:bottom w:val="none" w:sz="0" w:space="0" w:color="auto"/>
        <w:right w:val="none" w:sz="0" w:space="0" w:color="auto"/>
      </w:divBdr>
      <w:divsChild>
        <w:div w:id="1461336836">
          <w:marLeft w:val="0"/>
          <w:marRight w:val="0"/>
          <w:marTop w:val="0"/>
          <w:marBottom w:val="0"/>
          <w:divBdr>
            <w:top w:val="none" w:sz="0" w:space="0" w:color="auto"/>
            <w:left w:val="none" w:sz="0" w:space="0" w:color="auto"/>
            <w:bottom w:val="none" w:sz="0" w:space="0" w:color="auto"/>
            <w:right w:val="none" w:sz="0" w:space="0" w:color="auto"/>
          </w:divBdr>
        </w:div>
      </w:divsChild>
    </w:div>
    <w:div w:id="490215998">
      <w:bodyDiv w:val="1"/>
      <w:marLeft w:val="0"/>
      <w:marRight w:val="0"/>
      <w:marTop w:val="0"/>
      <w:marBottom w:val="0"/>
      <w:divBdr>
        <w:top w:val="none" w:sz="0" w:space="0" w:color="auto"/>
        <w:left w:val="none" w:sz="0" w:space="0" w:color="auto"/>
        <w:bottom w:val="none" w:sz="0" w:space="0" w:color="auto"/>
        <w:right w:val="none" w:sz="0" w:space="0" w:color="auto"/>
      </w:divBdr>
      <w:divsChild>
        <w:div w:id="1715033131">
          <w:marLeft w:val="0"/>
          <w:marRight w:val="0"/>
          <w:marTop w:val="0"/>
          <w:marBottom w:val="0"/>
          <w:divBdr>
            <w:top w:val="none" w:sz="0" w:space="0" w:color="auto"/>
            <w:left w:val="none" w:sz="0" w:space="0" w:color="auto"/>
            <w:bottom w:val="none" w:sz="0" w:space="0" w:color="auto"/>
            <w:right w:val="none" w:sz="0" w:space="0" w:color="auto"/>
          </w:divBdr>
        </w:div>
      </w:divsChild>
    </w:div>
    <w:div w:id="622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9529446">
          <w:marLeft w:val="0"/>
          <w:marRight w:val="0"/>
          <w:marTop w:val="0"/>
          <w:marBottom w:val="0"/>
          <w:divBdr>
            <w:top w:val="none" w:sz="0" w:space="0" w:color="auto"/>
            <w:left w:val="none" w:sz="0" w:space="0" w:color="auto"/>
            <w:bottom w:val="none" w:sz="0" w:space="0" w:color="auto"/>
            <w:right w:val="none" w:sz="0" w:space="0" w:color="auto"/>
          </w:divBdr>
        </w:div>
      </w:divsChild>
    </w:div>
    <w:div w:id="1065836676">
      <w:bodyDiv w:val="1"/>
      <w:marLeft w:val="0"/>
      <w:marRight w:val="0"/>
      <w:marTop w:val="0"/>
      <w:marBottom w:val="0"/>
      <w:divBdr>
        <w:top w:val="none" w:sz="0" w:space="0" w:color="auto"/>
        <w:left w:val="none" w:sz="0" w:space="0" w:color="auto"/>
        <w:bottom w:val="none" w:sz="0" w:space="0" w:color="auto"/>
        <w:right w:val="none" w:sz="0" w:space="0" w:color="auto"/>
      </w:divBdr>
      <w:divsChild>
        <w:div w:id="71703852">
          <w:marLeft w:val="0"/>
          <w:marRight w:val="0"/>
          <w:marTop w:val="0"/>
          <w:marBottom w:val="0"/>
          <w:divBdr>
            <w:top w:val="none" w:sz="0" w:space="0" w:color="auto"/>
            <w:left w:val="none" w:sz="0" w:space="0" w:color="auto"/>
            <w:bottom w:val="none" w:sz="0" w:space="0" w:color="auto"/>
            <w:right w:val="none" w:sz="0" w:space="0" w:color="auto"/>
          </w:divBdr>
        </w:div>
      </w:divsChild>
    </w:div>
    <w:div w:id="1068844326">
      <w:bodyDiv w:val="1"/>
      <w:marLeft w:val="0"/>
      <w:marRight w:val="0"/>
      <w:marTop w:val="0"/>
      <w:marBottom w:val="0"/>
      <w:divBdr>
        <w:top w:val="none" w:sz="0" w:space="0" w:color="auto"/>
        <w:left w:val="none" w:sz="0" w:space="0" w:color="auto"/>
        <w:bottom w:val="none" w:sz="0" w:space="0" w:color="auto"/>
        <w:right w:val="none" w:sz="0" w:space="0" w:color="auto"/>
      </w:divBdr>
      <w:divsChild>
        <w:div w:id="596058182">
          <w:marLeft w:val="0"/>
          <w:marRight w:val="0"/>
          <w:marTop w:val="0"/>
          <w:marBottom w:val="0"/>
          <w:divBdr>
            <w:top w:val="none" w:sz="0" w:space="0" w:color="auto"/>
            <w:left w:val="none" w:sz="0" w:space="0" w:color="auto"/>
            <w:bottom w:val="none" w:sz="0" w:space="0" w:color="auto"/>
            <w:right w:val="none" w:sz="0" w:space="0" w:color="auto"/>
          </w:divBdr>
        </w:div>
      </w:divsChild>
    </w:div>
    <w:div w:id="1127119615">
      <w:bodyDiv w:val="1"/>
      <w:marLeft w:val="0"/>
      <w:marRight w:val="0"/>
      <w:marTop w:val="0"/>
      <w:marBottom w:val="0"/>
      <w:divBdr>
        <w:top w:val="none" w:sz="0" w:space="0" w:color="auto"/>
        <w:left w:val="none" w:sz="0" w:space="0" w:color="auto"/>
        <w:bottom w:val="none" w:sz="0" w:space="0" w:color="auto"/>
        <w:right w:val="none" w:sz="0" w:space="0" w:color="auto"/>
      </w:divBdr>
      <w:divsChild>
        <w:div w:id="933442972">
          <w:marLeft w:val="0"/>
          <w:marRight w:val="0"/>
          <w:marTop w:val="0"/>
          <w:marBottom w:val="0"/>
          <w:divBdr>
            <w:top w:val="none" w:sz="0" w:space="0" w:color="auto"/>
            <w:left w:val="none" w:sz="0" w:space="0" w:color="auto"/>
            <w:bottom w:val="none" w:sz="0" w:space="0" w:color="auto"/>
            <w:right w:val="none" w:sz="0" w:space="0" w:color="auto"/>
          </w:divBdr>
        </w:div>
      </w:divsChild>
    </w:div>
    <w:div w:id="1306400031">
      <w:bodyDiv w:val="1"/>
      <w:marLeft w:val="0"/>
      <w:marRight w:val="0"/>
      <w:marTop w:val="0"/>
      <w:marBottom w:val="0"/>
      <w:divBdr>
        <w:top w:val="none" w:sz="0" w:space="0" w:color="auto"/>
        <w:left w:val="none" w:sz="0" w:space="0" w:color="auto"/>
        <w:bottom w:val="none" w:sz="0" w:space="0" w:color="auto"/>
        <w:right w:val="none" w:sz="0" w:space="0" w:color="auto"/>
      </w:divBdr>
      <w:divsChild>
        <w:div w:id="1244143754">
          <w:marLeft w:val="0"/>
          <w:marRight w:val="0"/>
          <w:marTop w:val="0"/>
          <w:marBottom w:val="0"/>
          <w:divBdr>
            <w:top w:val="none" w:sz="0" w:space="0" w:color="auto"/>
            <w:left w:val="none" w:sz="0" w:space="0" w:color="auto"/>
            <w:bottom w:val="none" w:sz="0" w:space="0" w:color="auto"/>
            <w:right w:val="none" w:sz="0" w:space="0" w:color="auto"/>
          </w:divBdr>
        </w:div>
      </w:divsChild>
    </w:div>
    <w:div w:id="1542747189">
      <w:bodyDiv w:val="1"/>
      <w:marLeft w:val="0"/>
      <w:marRight w:val="0"/>
      <w:marTop w:val="0"/>
      <w:marBottom w:val="0"/>
      <w:divBdr>
        <w:top w:val="none" w:sz="0" w:space="0" w:color="auto"/>
        <w:left w:val="none" w:sz="0" w:space="0" w:color="auto"/>
        <w:bottom w:val="none" w:sz="0" w:space="0" w:color="auto"/>
        <w:right w:val="none" w:sz="0" w:space="0" w:color="auto"/>
      </w:divBdr>
      <w:divsChild>
        <w:div w:id="1961179739">
          <w:marLeft w:val="0"/>
          <w:marRight w:val="0"/>
          <w:marTop w:val="0"/>
          <w:marBottom w:val="0"/>
          <w:divBdr>
            <w:top w:val="none" w:sz="0" w:space="0" w:color="auto"/>
            <w:left w:val="none" w:sz="0" w:space="0" w:color="auto"/>
            <w:bottom w:val="none" w:sz="0" w:space="0" w:color="auto"/>
            <w:right w:val="none" w:sz="0" w:space="0" w:color="auto"/>
          </w:divBdr>
        </w:div>
      </w:divsChild>
    </w:div>
    <w:div w:id="1653875872">
      <w:bodyDiv w:val="1"/>
      <w:marLeft w:val="0"/>
      <w:marRight w:val="0"/>
      <w:marTop w:val="0"/>
      <w:marBottom w:val="0"/>
      <w:divBdr>
        <w:top w:val="none" w:sz="0" w:space="0" w:color="auto"/>
        <w:left w:val="none" w:sz="0" w:space="0" w:color="auto"/>
        <w:bottom w:val="none" w:sz="0" w:space="0" w:color="auto"/>
        <w:right w:val="none" w:sz="0" w:space="0" w:color="auto"/>
      </w:divBdr>
      <w:divsChild>
        <w:div w:id="1060904501">
          <w:marLeft w:val="0"/>
          <w:marRight w:val="0"/>
          <w:marTop w:val="0"/>
          <w:marBottom w:val="0"/>
          <w:divBdr>
            <w:top w:val="none" w:sz="0" w:space="0" w:color="auto"/>
            <w:left w:val="none" w:sz="0" w:space="0" w:color="auto"/>
            <w:bottom w:val="none" w:sz="0" w:space="0" w:color="auto"/>
            <w:right w:val="none" w:sz="0" w:space="0" w:color="auto"/>
          </w:divBdr>
        </w:div>
      </w:divsChild>
    </w:div>
    <w:div w:id="1777561514">
      <w:bodyDiv w:val="1"/>
      <w:marLeft w:val="0"/>
      <w:marRight w:val="0"/>
      <w:marTop w:val="0"/>
      <w:marBottom w:val="0"/>
      <w:divBdr>
        <w:top w:val="none" w:sz="0" w:space="0" w:color="auto"/>
        <w:left w:val="none" w:sz="0" w:space="0" w:color="auto"/>
        <w:bottom w:val="none" w:sz="0" w:space="0" w:color="auto"/>
        <w:right w:val="none" w:sz="0" w:space="0" w:color="auto"/>
      </w:divBdr>
      <w:divsChild>
        <w:div w:id="261301977">
          <w:marLeft w:val="0"/>
          <w:marRight w:val="0"/>
          <w:marTop w:val="0"/>
          <w:marBottom w:val="0"/>
          <w:divBdr>
            <w:top w:val="none" w:sz="0" w:space="0" w:color="auto"/>
            <w:left w:val="none" w:sz="0" w:space="0" w:color="auto"/>
            <w:bottom w:val="none" w:sz="0" w:space="0" w:color="auto"/>
            <w:right w:val="none" w:sz="0" w:space="0" w:color="auto"/>
          </w:divBdr>
        </w:div>
      </w:divsChild>
    </w:div>
    <w:div w:id="1925414149">
      <w:bodyDiv w:val="1"/>
      <w:marLeft w:val="0"/>
      <w:marRight w:val="0"/>
      <w:marTop w:val="0"/>
      <w:marBottom w:val="0"/>
      <w:divBdr>
        <w:top w:val="none" w:sz="0" w:space="0" w:color="auto"/>
        <w:left w:val="none" w:sz="0" w:space="0" w:color="auto"/>
        <w:bottom w:val="none" w:sz="0" w:space="0" w:color="auto"/>
        <w:right w:val="none" w:sz="0" w:space="0" w:color="auto"/>
      </w:divBdr>
      <w:divsChild>
        <w:div w:id="568272518">
          <w:marLeft w:val="0"/>
          <w:marRight w:val="0"/>
          <w:marTop w:val="0"/>
          <w:marBottom w:val="0"/>
          <w:divBdr>
            <w:top w:val="none" w:sz="0" w:space="0" w:color="auto"/>
            <w:left w:val="none" w:sz="0" w:space="0" w:color="auto"/>
            <w:bottom w:val="none" w:sz="0" w:space="0" w:color="auto"/>
            <w:right w:val="none" w:sz="0" w:space="0" w:color="auto"/>
          </w:divBdr>
        </w:div>
      </w:divsChild>
    </w:div>
    <w:div w:id="1969240299">
      <w:bodyDiv w:val="1"/>
      <w:marLeft w:val="0"/>
      <w:marRight w:val="0"/>
      <w:marTop w:val="0"/>
      <w:marBottom w:val="0"/>
      <w:divBdr>
        <w:top w:val="none" w:sz="0" w:space="0" w:color="auto"/>
        <w:left w:val="none" w:sz="0" w:space="0" w:color="auto"/>
        <w:bottom w:val="none" w:sz="0" w:space="0" w:color="auto"/>
        <w:right w:val="none" w:sz="0" w:space="0" w:color="auto"/>
      </w:divBdr>
      <w:divsChild>
        <w:div w:id="106243301">
          <w:marLeft w:val="0"/>
          <w:marRight w:val="0"/>
          <w:marTop w:val="0"/>
          <w:marBottom w:val="0"/>
          <w:divBdr>
            <w:top w:val="none" w:sz="0" w:space="0" w:color="auto"/>
            <w:left w:val="none" w:sz="0" w:space="0" w:color="auto"/>
            <w:bottom w:val="none" w:sz="0" w:space="0" w:color="auto"/>
            <w:right w:val="none" w:sz="0" w:space="0" w:color="auto"/>
          </w:divBdr>
        </w:div>
      </w:divsChild>
    </w:div>
    <w:div w:id="1996298905">
      <w:bodyDiv w:val="1"/>
      <w:marLeft w:val="0"/>
      <w:marRight w:val="0"/>
      <w:marTop w:val="0"/>
      <w:marBottom w:val="0"/>
      <w:divBdr>
        <w:top w:val="none" w:sz="0" w:space="0" w:color="auto"/>
        <w:left w:val="none" w:sz="0" w:space="0" w:color="auto"/>
        <w:bottom w:val="none" w:sz="0" w:space="0" w:color="auto"/>
        <w:right w:val="none" w:sz="0" w:space="0" w:color="auto"/>
      </w:divBdr>
      <w:divsChild>
        <w:div w:id="1219439278">
          <w:marLeft w:val="0"/>
          <w:marRight w:val="0"/>
          <w:marTop w:val="0"/>
          <w:marBottom w:val="0"/>
          <w:divBdr>
            <w:top w:val="none" w:sz="0" w:space="0" w:color="auto"/>
            <w:left w:val="none" w:sz="0" w:space="0" w:color="auto"/>
            <w:bottom w:val="none" w:sz="0" w:space="0" w:color="auto"/>
            <w:right w:val="none" w:sz="0" w:space="0" w:color="auto"/>
          </w:divBdr>
        </w:div>
      </w:divsChild>
    </w:div>
    <w:div w:id="2121415655">
      <w:bodyDiv w:val="1"/>
      <w:marLeft w:val="0"/>
      <w:marRight w:val="0"/>
      <w:marTop w:val="0"/>
      <w:marBottom w:val="0"/>
      <w:divBdr>
        <w:top w:val="none" w:sz="0" w:space="0" w:color="auto"/>
        <w:left w:val="none" w:sz="0" w:space="0" w:color="auto"/>
        <w:bottom w:val="none" w:sz="0" w:space="0" w:color="auto"/>
        <w:right w:val="none" w:sz="0" w:space="0" w:color="auto"/>
      </w:divBdr>
      <w:divsChild>
        <w:div w:id="36899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52CF-CC14-4131-9A9D-68E821E0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 R</cp:lastModifiedBy>
  <cp:revision>36</cp:revision>
  <dcterms:created xsi:type="dcterms:W3CDTF">2018-05-06T22:42:00Z</dcterms:created>
  <dcterms:modified xsi:type="dcterms:W3CDTF">2020-09-08T21:29:00Z</dcterms:modified>
</cp:coreProperties>
</file>